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28"/>
          <w:szCs w:val="28"/>
        </w:rPr>
      </w:pPr>
      <w:bookmarkStart w:id="0" w:name="_GoBack"/>
      <w:bookmarkEnd w:id="0"/>
      <w:r>
        <w:rPr>
          <w:sz w:val="28"/>
          <w:szCs w:val="28"/>
        </w:rPr>
        <w:t>Договор №</w:t>
      </w:r>
    </w:p>
    <w:p>
      <w:pPr>
        <w:pStyle w:val="Normal"/>
        <w:jc w:val="center"/>
        <w:rPr>
          <w:sz w:val="28"/>
          <w:szCs w:val="28"/>
        </w:rPr>
      </w:pPr>
      <w:r>
        <w:rPr>
          <w:sz w:val="28"/>
          <w:szCs w:val="28"/>
        </w:rPr>
        <w:t>на оказание услуг по реагированию нарядами подразделений вневедомственной охраны на сообщения о срабатывании сигнализации</w:t>
      </w:r>
    </w:p>
    <w:p>
      <w:pPr>
        <w:pStyle w:val="Normal"/>
        <w:jc w:val="center"/>
        <w:rPr>
          <w:sz w:val="28"/>
          <w:szCs w:val="28"/>
        </w:rPr>
      </w:pPr>
      <w:r>
        <w:rPr>
          <w:sz w:val="28"/>
          <w:szCs w:val="28"/>
        </w:rPr>
      </w:r>
    </w:p>
    <w:p>
      <w:pPr>
        <w:pStyle w:val="Normal"/>
        <w:jc w:val="both"/>
        <w:rPr>
          <w:sz w:val="28"/>
          <w:szCs w:val="28"/>
        </w:rPr>
      </w:pPr>
      <w:r>
        <w:rPr>
          <w:sz w:val="28"/>
          <w:szCs w:val="28"/>
        </w:rPr>
      </w:r>
    </w:p>
    <w:p>
      <w:pPr>
        <w:pStyle w:val="Style18"/>
        <w:spacing w:before="0" w:after="0"/>
        <w:jc w:val="both"/>
        <w:rPr>
          <w:sz w:val="28"/>
          <w:szCs w:val="28"/>
        </w:rPr>
      </w:pPr>
      <w:r>
        <w:rPr>
          <w:sz w:val="28"/>
          <w:szCs w:val="28"/>
        </w:rPr>
        <w:t xml:space="preserve">г. Нальчик </w:t>
        <w:tab/>
        <w:tab/>
        <w:tab/>
        <w:tab/>
        <w:tab/>
        <w:tab/>
        <w:tab/>
        <w:t xml:space="preserve">    «     » ___________ 202___ г. </w:t>
      </w:r>
    </w:p>
    <w:p>
      <w:pPr>
        <w:pStyle w:val="Style18"/>
        <w:spacing w:before="0" w:after="0"/>
        <w:jc w:val="both"/>
        <w:rPr>
          <w:sz w:val="28"/>
          <w:szCs w:val="28"/>
        </w:rPr>
      </w:pPr>
      <w:r>
        <w:rPr>
          <w:sz w:val="28"/>
          <w:szCs w:val="28"/>
        </w:rPr>
      </w:r>
    </w:p>
    <w:p>
      <w:pPr>
        <w:pStyle w:val="Style18"/>
        <w:spacing w:lineRule="auto" w:line="240" w:before="0" w:after="0"/>
        <w:jc w:val="both"/>
        <w:rPr>
          <w:sz w:val="28"/>
          <w:szCs w:val="28"/>
        </w:rPr>
      </w:pPr>
      <w:r>
        <w:rPr>
          <w:sz w:val="28"/>
          <w:szCs w:val="28"/>
        </w:rPr>
        <w:tab/>
      </w:r>
      <w:r>
        <w:rPr>
          <w:color w:val="000000"/>
          <w:spacing w:val="-4"/>
          <w:sz w:val="28"/>
          <w:szCs w:val="28"/>
        </w:rPr>
        <w:t>Федеральное государственное казенное учреждение «Управление вневедомственной охраны войск национальной гвардии Российской Федерации по Кабардино-Балкарской Республике» (ФГКУ «УВО ВНГ России по КБР»), именуемое в дальнейшем «Исполнитель», в лице начальника  ФГКУ «УВО ВНГ России по КБР» ______________________________________________________, действующего на основании _______________________</w:t>
      </w:r>
      <w:r>
        <w:rPr>
          <w:sz w:val="28"/>
          <w:szCs w:val="28"/>
        </w:rPr>
        <w:t>, с одной стороны и __________________________________________________________________, именуемое в дальнейшем «Заказчик» в лице ____________________________, действующего на основании Устава, с другой стороны, при одновременном упоминании именуемые «Стороны», заключили настоящий договор о нижеследующем:</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1. ПРЕДМЕТ ДОГОВОРА</w:t>
      </w:r>
    </w:p>
    <w:p>
      <w:pPr>
        <w:pStyle w:val="Style18"/>
        <w:spacing w:lineRule="auto" w:line="240" w:before="0" w:after="0"/>
        <w:jc w:val="both"/>
        <w:rPr/>
      </w:pPr>
      <w:r>
        <w:rPr>
          <w:sz w:val="28"/>
          <w:szCs w:val="28"/>
        </w:rPr>
        <w:t xml:space="preserve"> </w:t>
      </w:r>
      <w:r>
        <w:rPr>
          <w:sz w:val="28"/>
          <w:szCs w:val="28"/>
        </w:rPr>
        <w:tab/>
        <w:t xml:space="preserve">1.1. «Исполнитель» оказывает услуги «Заказчику» по реагированию групп задержания (ГЗ) на сообщения срабатывания охранной (охранно - пожарной) и (или) тревожной сигнализации, установленной на «Объекте», указанном в Перечне объектов и обособленных помещений, принимаемых на оказание услуг по реагированию нарядами подразделений вневедомственной охраны на сообщения о срабатывании сигнализации (далее - «Перечень) (Приложение №1 к настоящему Договору), а «Заказчик оплачивает эти услуги в соответствии с условиями Договора. </w:t>
      </w:r>
    </w:p>
    <w:p>
      <w:pPr>
        <w:pStyle w:val="Style18"/>
        <w:spacing w:lineRule="auto" w:line="240" w:before="0" w:after="0"/>
        <w:jc w:val="both"/>
        <w:rPr/>
      </w:pPr>
      <w:r>
        <w:rPr>
          <w:sz w:val="28"/>
          <w:szCs w:val="28"/>
        </w:rPr>
        <w:tab/>
        <w:t xml:space="preserve">1.2. Указанные в Перечне (Приложение № 1 к настоящему Договору)  объекты должны входить в зону действия ГЗ ПЦО. </w:t>
      </w:r>
    </w:p>
    <w:p>
      <w:pPr>
        <w:pStyle w:val="Style18"/>
        <w:spacing w:lineRule="auto" w:line="240" w:before="0" w:after="0"/>
        <w:jc w:val="both"/>
        <w:rPr/>
      </w:pPr>
      <w:r>
        <w:rPr>
          <w:sz w:val="28"/>
          <w:szCs w:val="28"/>
        </w:rPr>
        <w:tab/>
        <w:t>1.3. При невозможности незамедлительно направить группу задержания «Исполнитель» передает информацию в территориальный отдел МВД для принятия мер, информируя об этом «Заказчика».</w:t>
      </w:r>
    </w:p>
    <w:p>
      <w:pPr>
        <w:pStyle w:val="Style18"/>
        <w:spacing w:lineRule="auto" w:line="240" w:before="0" w:after="0"/>
        <w:jc w:val="both"/>
        <w:rPr/>
      </w:pPr>
      <w:r>
        <w:rPr>
          <w:sz w:val="28"/>
          <w:szCs w:val="28"/>
        </w:rPr>
        <w:tab/>
        <w:t>1.4. Срок оказания услуг по настоящему договору: с «___» ___________ 202__ года по «___» ____________ 202__ года.</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2. ОБЩИЕ ПОЛОЖЕНИЯ</w:t>
      </w:r>
    </w:p>
    <w:p>
      <w:pPr>
        <w:pStyle w:val="Style18"/>
        <w:spacing w:lineRule="auto" w:line="240" w:before="0" w:after="0"/>
        <w:jc w:val="both"/>
        <w:rPr/>
      </w:pPr>
      <w:r>
        <w:rPr>
          <w:sz w:val="28"/>
          <w:szCs w:val="28"/>
        </w:rPr>
        <w:tab/>
        <w:t xml:space="preserve">2.1. «Объект» (помещение, территория, место проживания и хранения имущества граждан), подлежащие реагированию должен быть технически укреплен, оборудован средствами охранной и (или) тревожной сигнализацией с подключением на пульт централизованного наблюдения «Заказчика»). </w:t>
      </w:r>
    </w:p>
    <w:p>
      <w:pPr>
        <w:pStyle w:val="Style18"/>
        <w:spacing w:lineRule="auto" w:line="240" w:before="0" w:after="0"/>
        <w:jc w:val="both"/>
        <w:rPr/>
      </w:pPr>
      <w:r>
        <w:rPr>
          <w:sz w:val="28"/>
          <w:szCs w:val="28"/>
        </w:rPr>
        <w:tab/>
        <w:t xml:space="preserve">2.2. Информация о срабатывании систем сигнализации проверяется оператором станции «Заказчика» самостоятельно, а затем передается на пульт централизованной охраны (ПЦО) «Исполнителя» </w:t>
      </w:r>
      <w:r>
        <w:rPr>
          <w:sz w:val="28"/>
          <w:szCs w:val="28"/>
          <w:shd w:fill="FFFF00" w:val="clear"/>
        </w:rPr>
        <w:t>посредством</w:t>
      </w:r>
      <w:r>
        <w:rPr>
          <w:sz w:val="28"/>
          <w:szCs w:val="28"/>
        </w:rPr>
        <w:t xml:space="preserve"> программно – аппаратного комплекса взаимодействия с мониторинговыми компаниями (далее – ПАК ВсМК). «Заказчик» осуществляет передачу тревожных извещений с охраняемых объектов МПХИГ, с помощью указанного комплекса. </w:t>
      </w:r>
    </w:p>
    <w:p>
      <w:pPr>
        <w:pStyle w:val="Style18"/>
        <w:spacing w:lineRule="auto" w:line="240" w:before="0" w:after="0"/>
        <w:jc w:val="both"/>
        <w:rPr/>
      </w:pPr>
      <w:r>
        <w:rPr>
          <w:sz w:val="28"/>
          <w:szCs w:val="28"/>
        </w:rPr>
        <w:tab/>
        <w:t xml:space="preserve">2.3. «Заказчик» оплачивает расходы, связанные с выездами групп задержания на ложные срабатывания комплекса по вине собственника «Объекта», членов его семьи, лиц, имеющих право на проживание или доверенного лица. </w:t>
      </w:r>
    </w:p>
    <w:p>
      <w:pPr>
        <w:pStyle w:val="Style18"/>
        <w:spacing w:lineRule="auto" w:line="240" w:before="0" w:after="0"/>
        <w:jc w:val="both"/>
        <w:rPr/>
      </w:pPr>
      <w:r>
        <w:rPr>
          <w:sz w:val="28"/>
          <w:szCs w:val="28"/>
        </w:rPr>
        <w:tab/>
        <w:t xml:space="preserve">2.4. «Заказчик» несет ответственность за выбор систем сигнализации, правильность и качество монтажа и эксплуатационного обслуживания, надежность работы комплекса с применением сертифицированных технических средств охраны. </w:t>
      </w:r>
    </w:p>
    <w:p>
      <w:pPr>
        <w:pStyle w:val="Style18"/>
        <w:spacing w:lineRule="auto" w:line="240" w:before="0" w:after="0"/>
        <w:jc w:val="both"/>
        <w:rPr/>
      </w:pPr>
      <w:r>
        <w:rPr>
          <w:sz w:val="28"/>
          <w:szCs w:val="28"/>
        </w:rPr>
        <w:tab/>
        <w:t>2.5. «Заказчик» обеспечивает соблюдение собственником «Объекта» установленного режима охраны объекта.</w:t>
      </w:r>
    </w:p>
    <w:p>
      <w:pPr>
        <w:pStyle w:val="Style18"/>
        <w:spacing w:lineRule="auto" w:line="240" w:before="0" w:after="0"/>
        <w:jc w:val="both"/>
        <w:rPr/>
      </w:pPr>
      <w:r>
        <w:rPr>
          <w:sz w:val="28"/>
          <w:szCs w:val="28"/>
        </w:rPr>
        <w:tab/>
        <w:t xml:space="preserve">2.6. «Исполнитель» не несет ответственность за ущерб, причиненный собственнику (правообладателя) объекта действиями третьих лиц. </w:t>
      </w:r>
    </w:p>
    <w:p>
      <w:pPr>
        <w:pStyle w:val="Style18"/>
        <w:spacing w:lineRule="auto" w:line="240" w:before="0" w:after="0"/>
        <w:jc w:val="both"/>
        <w:rPr/>
      </w:pPr>
      <w:r>
        <w:rPr>
          <w:sz w:val="28"/>
          <w:szCs w:val="28"/>
        </w:rPr>
        <w:tab/>
        <w:t>2.7. При заключении договора «Заказчик» представляет «Исполнителю»:</w:t>
      </w:r>
    </w:p>
    <w:p>
      <w:pPr>
        <w:pStyle w:val="Style18"/>
        <w:spacing w:lineRule="auto" w:line="240" w:before="0" w:after="0"/>
        <w:jc w:val="both"/>
        <w:rPr/>
      </w:pPr>
      <w:r>
        <w:rPr>
          <w:sz w:val="28"/>
          <w:szCs w:val="28"/>
        </w:rPr>
        <w:t xml:space="preserve"> </w:t>
      </w:r>
      <w:r>
        <w:rPr>
          <w:sz w:val="28"/>
          <w:szCs w:val="28"/>
        </w:rPr>
        <w:tab/>
        <w:t xml:space="preserve">2.7.1. Копии учредительных документов «Заказчика», копию свидетельства о регистрации в качестве юридического лица (копию свидетельства о постановке на учет в налоговом органе) «Заказчика». </w:t>
      </w:r>
    </w:p>
    <w:p>
      <w:pPr>
        <w:pStyle w:val="Style18"/>
        <w:spacing w:lineRule="auto" w:line="240" w:before="0" w:after="0"/>
        <w:jc w:val="both"/>
        <w:rPr/>
      </w:pPr>
      <w:r>
        <w:rPr>
          <w:sz w:val="28"/>
          <w:szCs w:val="28"/>
        </w:rPr>
        <w:tab/>
        <w:t xml:space="preserve">2.7.2. Копии документов, подтверждающих полномочия лица от «Заказчика» на подписание данного договора. </w:t>
      </w:r>
    </w:p>
    <w:p>
      <w:pPr>
        <w:pStyle w:val="Style18"/>
        <w:spacing w:lineRule="auto" w:line="240" w:before="0" w:after="0"/>
        <w:jc w:val="both"/>
        <w:rPr/>
      </w:pPr>
      <w:r>
        <w:rPr>
          <w:sz w:val="28"/>
          <w:szCs w:val="28"/>
        </w:rPr>
        <w:tab/>
        <w:t xml:space="preserve">2.7.3. Копию договора на охрану объекта, заключенного с собственником (правообладателем) «Объекта» первая и последняя страница без указания цены договора. </w:t>
      </w:r>
    </w:p>
    <w:p>
      <w:pPr>
        <w:pStyle w:val="Style18"/>
        <w:spacing w:lineRule="auto" w:line="240" w:before="0" w:after="0"/>
        <w:jc w:val="both"/>
        <w:rPr/>
      </w:pPr>
      <w:r>
        <w:rPr>
          <w:sz w:val="28"/>
          <w:szCs w:val="28"/>
        </w:rPr>
        <w:tab/>
        <w:t xml:space="preserve">2.7.4. Список представителей «Заказчика», уполномоченных от его лица совершать действия в целях исполнения настоящего договора (в том числе имеющих право проводить обследование объекта совместно с представителями «Исполнителя» и «Заказчика», подписывать акты обследования, выезжать на объекты для установления причин срабатывания причин сигнализации, сдавать и пересдавать их под централизованное наблюдение), с их контактами и телефонами. </w:t>
      </w:r>
    </w:p>
    <w:p>
      <w:pPr>
        <w:pStyle w:val="Style18"/>
        <w:spacing w:lineRule="auto" w:line="240" w:before="0" w:after="0"/>
        <w:jc w:val="both"/>
        <w:rPr/>
      </w:pPr>
      <w:r>
        <w:rPr>
          <w:sz w:val="28"/>
          <w:szCs w:val="28"/>
        </w:rPr>
        <w:tab/>
        <w:t xml:space="preserve">2.7.5. Копии сертификатов качества необходимого класса на инженерные конструкции к взлому (пулестойкости и другое) (при наличии данных конструкций ). </w:t>
      </w:r>
    </w:p>
    <w:p>
      <w:pPr>
        <w:pStyle w:val="Style18"/>
        <w:spacing w:lineRule="auto" w:line="240" w:before="0" w:after="0"/>
        <w:jc w:val="both"/>
        <w:rPr/>
      </w:pPr>
      <w:r>
        <w:rPr>
          <w:sz w:val="28"/>
          <w:szCs w:val="28"/>
        </w:rPr>
        <w:tab/>
        <w:t>2.7.6. Оперативную карточку объекта с отображением (в электронном виде), содержащую:</w:t>
      </w:r>
    </w:p>
    <w:p>
      <w:pPr>
        <w:pStyle w:val="Style18"/>
        <w:spacing w:lineRule="auto" w:line="240" w:before="0" w:after="0"/>
        <w:jc w:val="both"/>
        <w:rPr/>
      </w:pPr>
      <w:r>
        <w:rPr>
          <w:sz w:val="28"/>
          <w:szCs w:val="28"/>
        </w:rPr>
        <w:t>- адрес объекта;</w:t>
      </w:r>
    </w:p>
    <w:p>
      <w:pPr>
        <w:pStyle w:val="Style18"/>
        <w:spacing w:lineRule="auto" w:line="240" w:before="0" w:after="0"/>
        <w:jc w:val="both"/>
        <w:rPr/>
      </w:pPr>
      <w:r>
        <w:rPr>
          <w:sz w:val="28"/>
          <w:szCs w:val="28"/>
        </w:rPr>
        <w:t>- категория охраняемого объекта: обычный / особо важный;</w:t>
      </w:r>
    </w:p>
    <w:p>
      <w:pPr>
        <w:pStyle w:val="Style18"/>
        <w:spacing w:lineRule="auto" w:line="240" w:before="0" w:after="0"/>
        <w:jc w:val="both"/>
        <w:rPr/>
      </w:pPr>
      <w:r>
        <w:rPr>
          <w:sz w:val="28"/>
          <w:szCs w:val="28"/>
        </w:rPr>
        <w:t>- тип: указываются данные о типе «Объекта» (квартира МХИГ/объект);</w:t>
      </w:r>
    </w:p>
    <w:p>
      <w:pPr>
        <w:pStyle w:val="Style18"/>
        <w:spacing w:lineRule="auto" w:line="240" w:before="0" w:after="0"/>
        <w:jc w:val="both"/>
        <w:rPr/>
      </w:pPr>
      <w:r>
        <w:rPr>
          <w:sz w:val="28"/>
          <w:szCs w:val="28"/>
        </w:rPr>
        <w:t>- инженерно – технической укрепленности (двери, окна, решетки,   этажность и т.д.);</w:t>
      </w:r>
    </w:p>
    <w:p>
      <w:pPr>
        <w:pStyle w:val="Style18"/>
        <w:spacing w:lineRule="auto" w:line="240" w:before="0" w:after="0"/>
        <w:jc w:val="both"/>
        <w:rPr/>
      </w:pPr>
      <w:r>
        <w:rPr>
          <w:sz w:val="28"/>
          <w:szCs w:val="28"/>
        </w:rPr>
        <w:t>- схему подъезда к охраняемому объекту;</w:t>
      </w:r>
    </w:p>
    <w:p>
      <w:pPr>
        <w:pStyle w:val="Style18"/>
        <w:spacing w:lineRule="auto" w:line="240" w:before="0" w:after="0"/>
        <w:jc w:val="both"/>
        <w:rPr/>
      </w:pPr>
      <w:r>
        <w:rPr>
          <w:sz w:val="28"/>
          <w:szCs w:val="28"/>
        </w:rPr>
        <w:t xml:space="preserve">- уязвимые места объекта и места возможного проникновения. </w:t>
      </w:r>
    </w:p>
    <w:p>
      <w:pPr>
        <w:pStyle w:val="Style18"/>
        <w:spacing w:lineRule="auto" w:line="240" w:before="0" w:after="0"/>
        <w:jc w:val="both"/>
        <w:rPr/>
      </w:pPr>
      <w:r>
        <w:rPr>
          <w:sz w:val="28"/>
          <w:szCs w:val="28"/>
        </w:rPr>
        <w:t>- коды подъездов (место нахождения ключей от калиток);</w:t>
      </w:r>
    </w:p>
    <w:p>
      <w:pPr>
        <w:pStyle w:val="Style18"/>
        <w:spacing w:lineRule="auto" w:line="240" w:before="0" w:after="0"/>
        <w:jc w:val="both"/>
        <w:rPr/>
      </w:pPr>
      <w:r>
        <w:rPr>
          <w:sz w:val="28"/>
          <w:szCs w:val="28"/>
        </w:rPr>
        <w:t>- список доверенных лиц объекта с указанием контактных телефонов.</w:t>
      </w:r>
    </w:p>
    <w:p>
      <w:pPr>
        <w:pStyle w:val="Style18"/>
        <w:spacing w:lineRule="auto" w:line="240" w:before="0" w:after="0"/>
        <w:jc w:val="both"/>
        <w:rPr/>
      </w:pPr>
      <w:r>
        <w:rPr>
          <w:sz w:val="28"/>
          <w:szCs w:val="28"/>
        </w:rPr>
        <w:tab/>
        <w:t xml:space="preserve">2.8. В случае одновременного поступления тревожных сообщений с охраняемого Исполнителем объекта и тревожного сообщения с объекта, указанного в приложении к настоящему Договору, группа задержания «Исполнителя» в первую очередь проводит отработку тревожного сообщения с охраняемого Исполнителем объекта. </w:t>
      </w:r>
    </w:p>
    <w:p>
      <w:pPr>
        <w:pStyle w:val="Style18"/>
        <w:spacing w:lineRule="auto" w:line="240" w:before="0" w:after="0"/>
        <w:jc w:val="both"/>
        <w:rPr/>
      </w:pPr>
      <w:r>
        <w:rPr>
          <w:sz w:val="28"/>
          <w:szCs w:val="28"/>
        </w:rPr>
        <w:tab/>
        <w:t xml:space="preserve">2.9. Услуги «Исполнителя» по Договору оказываются в дни и часы,  указанные в прилагаемом к договору перечне объектов (Приложение №1). </w:t>
      </w:r>
    </w:p>
    <w:p>
      <w:pPr>
        <w:pStyle w:val="Style18"/>
        <w:spacing w:lineRule="auto" w:line="240" w:before="0" w:after="0"/>
        <w:jc w:val="both"/>
        <w:rPr/>
      </w:pPr>
      <w:r>
        <w:rPr>
          <w:sz w:val="28"/>
          <w:szCs w:val="28"/>
        </w:rPr>
        <w:tab/>
        <w:t xml:space="preserve">2.10. «Заказчик» гарантирует отсутствие имущественных споров по «Объекту», указанному в перечне к настоящему договору, на который осуществляется реагирование группами задержания «Исполнителя». </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3. ОБЯЗАННОСТИ СТОРОН</w:t>
      </w:r>
    </w:p>
    <w:p>
      <w:pPr>
        <w:pStyle w:val="Style18"/>
        <w:spacing w:lineRule="auto" w:line="240" w:before="0" w:after="0"/>
        <w:jc w:val="both"/>
        <w:rPr/>
      </w:pPr>
      <w:r>
        <w:rPr>
          <w:sz w:val="28"/>
          <w:szCs w:val="28"/>
        </w:rPr>
        <w:tab/>
        <w:t>3.1.«Заказчик» обязуется:</w:t>
      </w:r>
    </w:p>
    <w:p>
      <w:pPr>
        <w:pStyle w:val="Style18"/>
        <w:spacing w:lineRule="auto" w:line="240" w:before="0" w:after="0"/>
        <w:jc w:val="both"/>
        <w:rPr/>
      </w:pPr>
      <w:r>
        <w:rPr>
          <w:sz w:val="28"/>
          <w:szCs w:val="28"/>
        </w:rPr>
        <w:tab/>
        <w:t xml:space="preserve">3.1.1.При получении тревожного сообщения незамедлительно оповестить «Исполнителя» о получении тревожного сообщения, а также обстоятельства, послуживших основание направления тревожного сообщения. </w:t>
      </w:r>
    </w:p>
    <w:p>
      <w:pPr>
        <w:pStyle w:val="Style18"/>
        <w:spacing w:lineRule="auto" w:line="240" w:before="0" w:after="0"/>
        <w:jc w:val="both"/>
        <w:rPr/>
      </w:pPr>
      <w:r>
        <w:rPr>
          <w:sz w:val="28"/>
          <w:szCs w:val="28"/>
        </w:rPr>
        <w:tab/>
        <w:t xml:space="preserve">3.1.2.При изменении сведений об объекте, подключенном на пульт централизованного наблюдения «Заказчика», незамедлительно сообщать об этом «Исполнителю». </w:t>
      </w:r>
    </w:p>
    <w:p>
      <w:pPr>
        <w:pStyle w:val="Style18"/>
        <w:spacing w:lineRule="auto" w:line="240" w:before="0" w:after="0"/>
        <w:jc w:val="both"/>
        <w:rPr/>
      </w:pPr>
      <w:r>
        <w:rPr>
          <w:sz w:val="28"/>
          <w:szCs w:val="28"/>
        </w:rPr>
        <w:tab/>
        <w:t xml:space="preserve">3.1.3.Своевременного производить оплату за услуги, оказываемые «Исполнителем», в соответствии с условиями настоящего Договора. </w:t>
      </w:r>
    </w:p>
    <w:p>
      <w:pPr>
        <w:pStyle w:val="Style18"/>
        <w:spacing w:lineRule="auto" w:line="240" w:before="0" w:after="0"/>
        <w:jc w:val="both"/>
        <w:rPr/>
      </w:pPr>
      <w:r>
        <w:rPr>
          <w:sz w:val="28"/>
          <w:szCs w:val="28"/>
        </w:rPr>
        <w:tab/>
        <w:t>3.1.4. Оплачивать расходы, связанные с выездами групп задержания на ложные срабатывания комплекса, по вине собственника объекта, членов его семьи, лиц, имеющих право на проживание или доверенного лица.</w:t>
      </w:r>
    </w:p>
    <w:p>
      <w:pPr>
        <w:pStyle w:val="Style18"/>
        <w:spacing w:lineRule="auto" w:line="240" w:before="0" w:after="0"/>
        <w:jc w:val="both"/>
        <w:rPr/>
      </w:pPr>
      <w:r>
        <w:rPr>
          <w:sz w:val="28"/>
          <w:szCs w:val="28"/>
        </w:rPr>
        <w:tab/>
        <w:t xml:space="preserve">3.1.5.  Направить уполномоченного представителя «Заказчика» для установления причин срабатывания сигнализации и пересдачи под централизованное наблюдение. </w:t>
      </w:r>
    </w:p>
    <w:p>
      <w:pPr>
        <w:pStyle w:val="Style18"/>
        <w:spacing w:lineRule="auto" w:line="240" w:before="0" w:after="0"/>
        <w:jc w:val="both"/>
        <w:rPr/>
      </w:pPr>
      <w:r>
        <w:rPr>
          <w:sz w:val="28"/>
          <w:szCs w:val="28"/>
        </w:rPr>
        <w:tab/>
        <w:t>3.1.6. В случаях обнаружения «Исполнителем» признаков проникновения на «Объект» или при необходимости осмотра и «Перезакрытия» «Объекта», незамедлительно прибыть или обеспечить прибытие в возможно короткий срок на «Объект» уполномоченного  лица «Заказчика», но не позднее 60 минут с момента получения сообщения.</w:t>
      </w:r>
    </w:p>
    <w:p>
      <w:pPr>
        <w:pStyle w:val="Style18"/>
        <w:spacing w:lineRule="auto" w:line="240" w:before="0" w:after="0"/>
        <w:jc w:val="both"/>
        <w:rPr/>
      </w:pPr>
      <w:r>
        <w:rPr>
          <w:sz w:val="28"/>
          <w:szCs w:val="28"/>
        </w:rPr>
        <w:tab/>
        <w:t xml:space="preserve">3.1.7. При получении от оператора пульта централизованного наблюдения «Заказчика» информации о тревожном сообщении, поступившем с объекта по прибытии сотрудников «Исполнителя» обеспечить беспрепятственный доступ к объекту для проведения осмотра всех внутренних помещений с целью выявления правонарушений. </w:t>
      </w:r>
    </w:p>
    <w:p>
      <w:pPr>
        <w:pStyle w:val="Style18"/>
        <w:spacing w:lineRule="auto" w:line="240" w:before="0" w:after="0"/>
        <w:jc w:val="both"/>
        <w:rPr/>
      </w:pPr>
      <w:r>
        <w:rPr>
          <w:sz w:val="28"/>
          <w:szCs w:val="28"/>
        </w:rPr>
        <w:tab/>
        <w:t>3.1.8. Если «Заказчик» или его Доверенное лицо не прибывает на объект в течение кратчайшего времени, «Исполнитель» предпринимает все возможные меры для защиты «Объекта», но не более, чем в течение одного часа, при этом «Заказчик» компенсирует фактически понесенные «Исполнителем» расходы.</w:t>
      </w:r>
    </w:p>
    <w:p>
      <w:pPr>
        <w:pStyle w:val="Style18"/>
        <w:spacing w:lineRule="auto" w:line="240" w:before="0" w:after="0"/>
        <w:jc w:val="both"/>
        <w:rPr/>
      </w:pPr>
      <w:r>
        <w:rPr>
          <w:sz w:val="28"/>
          <w:szCs w:val="28"/>
        </w:rPr>
        <w:tab/>
        <w:t xml:space="preserve">3.1.9. Не позднее 1 (первого) числа месяца, следующего за месяцем  оказания услуг, счета и акты выполненных работ «Заказчик» забирает самостоятельно по адресу: КБР, г. Нальчик, ул. Шалушкинская, 1А. </w:t>
      </w:r>
    </w:p>
    <w:p>
      <w:pPr>
        <w:pStyle w:val="Style18"/>
        <w:spacing w:lineRule="auto" w:line="240" w:before="0" w:after="0"/>
        <w:jc w:val="both"/>
        <w:rPr/>
      </w:pPr>
      <w:r>
        <w:rPr>
          <w:sz w:val="28"/>
          <w:szCs w:val="28"/>
        </w:rPr>
        <w:tab/>
        <w:t>3.1.10. В случае получения информации о возникновении спора о праве собственности и управлении имущества на «Объекте» в течении 3 –х дней письменно информировать об  этом.</w:t>
      </w:r>
    </w:p>
    <w:p>
      <w:pPr>
        <w:pStyle w:val="Style18"/>
        <w:spacing w:lineRule="auto" w:line="240" w:before="0" w:after="0"/>
        <w:jc w:val="both"/>
        <w:rPr/>
      </w:pPr>
      <w:r>
        <w:rPr>
          <w:sz w:val="28"/>
          <w:szCs w:val="28"/>
        </w:rPr>
        <w:tab/>
        <w:t>3.2. «Исполнитель» обязуется:</w:t>
      </w:r>
    </w:p>
    <w:p>
      <w:pPr>
        <w:pStyle w:val="Style18"/>
        <w:spacing w:lineRule="auto" w:line="240" w:before="0" w:after="0"/>
        <w:jc w:val="both"/>
        <w:rPr/>
      </w:pPr>
      <w:r>
        <w:rPr>
          <w:sz w:val="28"/>
          <w:szCs w:val="28"/>
        </w:rPr>
        <w:tab/>
        <w:t xml:space="preserve">3.2.1. При получении от оператора пульта централизованного наблюдения «Заказчика» информации о тревожном сообщении, поступившем с «Объекта», принять к учету данное сообщение и в возможно короткие сроки направить к нему группу задержания для выяснения причин и принятия мер к задержанию лиц, совершающих, либо совершивших противоправные деяния. Порядок действия групп задержания при выезде осуществляется в соответствии с действующим законодательством Российской Федерации. </w:t>
      </w:r>
    </w:p>
    <w:p>
      <w:pPr>
        <w:pStyle w:val="Style18"/>
        <w:spacing w:lineRule="auto" w:line="240" w:before="0" w:after="0"/>
        <w:jc w:val="both"/>
        <w:rPr/>
      </w:pPr>
      <w:r>
        <w:rPr>
          <w:sz w:val="28"/>
          <w:szCs w:val="28"/>
        </w:rPr>
        <w:tab/>
        <w:t xml:space="preserve">3.2.2. Совместно с Заказчиком (уполномоченным им лицо) производить вскрытие объекта для внутреннего осмотра помещений с целью выяснения причин срабатывания сигнализации. </w:t>
      </w:r>
    </w:p>
    <w:p>
      <w:pPr>
        <w:pStyle w:val="Style18"/>
        <w:spacing w:lineRule="auto" w:line="240" w:before="0" w:after="0"/>
        <w:jc w:val="both"/>
        <w:rPr/>
      </w:pPr>
      <w:r>
        <w:rPr>
          <w:sz w:val="28"/>
          <w:szCs w:val="28"/>
        </w:rPr>
        <w:tab/>
        <w:t>3.2.3. При наличии признаков нарушения целостности «Объекта» сообщить об этом в дежурную часть территориального органа внутренних дел.</w:t>
      </w:r>
    </w:p>
    <w:p>
      <w:pPr>
        <w:pStyle w:val="Style18"/>
        <w:spacing w:lineRule="auto" w:line="240" w:before="0" w:after="0"/>
        <w:jc w:val="both"/>
        <w:rPr/>
      </w:pPr>
      <w:r>
        <w:rPr>
          <w:sz w:val="28"/>
          <w:szCs w:val="28"/>
        </w:rPr>
        <w:tab/>
        <w:t>3.3. «Исполнитель» имеет право:</w:t>
      </w:r>
    </w:p>
    <w:p>
      <w:pPr>
        <w:pStyle w:val="Style18"/>
        <w:spacing w:lineRule="auto" w:line="240" w:before="0" w:after="0"/>
        <w:jc w:val="both"/>
        <w:rPr/>
      </w:pPr>
      <w:r>
        <w:rPr>
          <w:sz w:val="28"/>
          <w:szCs w:val="28"/>
        </w:rPr>
        <w:tab/>
        <w:t>3.3.1. Приостанавливать предоставление услуг реагирования по настоящему Договору в следующих случаях:</w:t>
      </w:r>
    </w:p>
    <w:p>
      <w:pPr>
        <w:pStyle w:val="Style18"/>
        <w:spacing w:lineRule="auto" w:line="240" w:before="0" w:after="0"/>
        <w:jc w:val="both"/>
        <w:rPr/>
      </w:pPr>
      <w:r>
        <w:rPr>
          <w:sz w:val="28"/>
          <w:szCs w:val="28"/>
        </w:rPr>
        <w:tab/>
        <w:t>3.3.1.1. Если «Заказчик» не производит оплату за услуги в сроки и в порядке, предусмотренные настоящим Договором.</w:t>
      </w:r>
    </w:p>
    <w:p>
      <w:pPr>
        <w:pStyle w:val="Style18"/>
        <w:spacing w:lineRule="auto" w:line="240" w:before="0" w:after="0"/>
        <w:jc w:val="both"/>
        <w:rPr/>
      </w:pPr>
      <w:r>
        <w:rPr>
          <w:sz w:val="28"/>
          <w:szCs w:val="28"/>
        </w:rPr>
        <w:tab/>
        <w:t>3.3.1.2. В случае систематического (более 2 раз в течении месяца) поступление «ложного» сигнала «тревога» с одного и того же объекта вследствие ненадлежащего выполнения «Заказчиком» обязанностей, предусмотренных пунктом 3.1.1. настоящего Договора, до момента устранения причин, повлекших «ложный» выезд на сигнал «тревога».</w:t>
      </w:r>
    </w:p>
    <w:p>
      <w:pPr>
        <w:pStyle w:val="Style18"/>
        <w:spacing w:lineRule="auto" w:line="240" w:before="0" w:after="0"/>
        <w:jc w:val="both"/>
        <w:rPr/>
      </w:pPr>
      <w:r>
        <w:rPr>
          <w:color w:val="000000"/>
          <w:sz w:val="28"/>
          <w:szCs w:val="28"/>
        </w:rPr>
        <w:tab/>
        <w:t>3.3.1.3.</w:t>
      </w:r>
      <w:r>
        <w:rPr>
          <w:sz w:val="28"/>
          <w:szCs w:val="28"/>
        </w:rPr>
        <w:t xml:space="preserve"> В случае возникновения спора о праве собственности, владении, пользовании, хозяйственном ведении, оперативном управлении или доверительном управлении «Объекта», указанного в Перечне к настоящему договору.</w:t>
      </w:r>
    </w:p>
    <w:p>
      <w:pPr>
        <w:pStyle w:val="Style18"/>
        <w:spacing w:lineRule="auto" w:line="240" w:before="0" w:after="0"/>
        <w:jc w:val="both"/>
        <w:rPr/>
      </w:pPr>
      <w:r>
        <w:rPr>
          <w:sz w:val="28"/>
          <w:szCs w:val="28"/>
        </w:rPr>
        <w:tab/>
        <w:t>3.4. О приостановлении оказания услуг реагирования «Исполнитель» извещает «Заказчика» за 15 (пять) дней до даты приостановления действия Договора путем направления письменного уведомления, направленного факсимильной связью или электронной почтой.</w:t>
      </w:r>
    </w:p>
    <w:p>
      <w:pPr>
        <w:pStyle w:val="Style18"/>
        <w:spacing w:lineRule="auto" w:line="240" w:before="0" w:after="0"/>
        <w:jc w:val="both"/>
        <w:rPr/>
      </w:pPr>
      <w:r>
        <w:rPr>
          <w:sz w:val="28"/>
          <w:szCs w:val="28"/>
        </w:rPr>
        <w:tab/>
        <w:t>3.5. Предоставление оказания услуг после приостановления на основании п. 3.3.1.1. настоящего Договора возобновляется с момента оплаты «Заказчиком» стоимости услуг по настоящему Договору, на основании п. 3.3.1.3. – до момента разрешения спора в предусмотренном законодательством порядке.</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4. ПОРЯДОК РАСЧЕТОВ.</w:t>
      </w:r>
    </w:p>
    <w:p>
      <w:pPr>
        <w:pStyle w:val="Style18"/>
        <w:spacing w:lineRule="auto" w:line="240" w:before="0" w:after="0"/>
        <w:jc w:val="both"/>
        <w:rPr/>
      </w:pPr>
      <w:r>
        <w:rPr>
          <w:sz w:val="28"/>
          <w:szCs w:val="28"/>
        </w:rPr>
        <w:tab/>
        <w:t xml:space="preserve">4.1. </w:t>
      </w:r>
      <w:r>
        <w:rPr>
          <w:color w:val="000000"/>
          <w:sz w:val="28"/>
          <w:szCs w:val="28"/>
        </w:rPr>
        <w:t>Стоимость услуг, оказываемых «Исполнителем» в месяц указывается в Перечне (Приложение №1 к настоящему Договору).</w:t>
      </w:r>
    </w:p>
    <w:p>
      <w:pPr>
        <w:pStyle w:val="Style18"/>
        <w:spacing w:lineRule="auto" w:line="240" w:before="0" w:after="0"/>
        <w:jc w:val="both"/>
        <w:rPr/>
      </w:pPr>
      <w:r>
        <w:rPr>
          <w:color w:val="000000"/>
          <w:sz w:val="28"/>
          <w:szCs w:val="28"/>
        </w:rPr>
        <w:tab/>
        <w:t>4.2. Стоимость услуг «Исполнителя» в соответствии со ст. 146 Налогового кодекса Российской Федерации не облагается НДС.</w:t>
      </w:r>
    </w:p>
    <w:p>
      <w:pPr>
        <w:pStyle w:val="Style18"/>
        <w:spacing w:lineRule="auto" w:line="240" w:before="0" w:after="0"/>
        <w:jc w:val="both"/>
        <w:rPr/>
      </w:pPr>
      <w:r>
        <w:rPr>
          <w:color w:val="000000"/>
          <w:sz w:val="28"/>
          <w:szCs w:val="28"/>
        </w:rPr>
        <w:tab/>
      </w:r>
      <w:r>
        <w:rPr>
          <w:sz w:val="28"/>
          <w:szCs w:val="28"/>
        </w:rPr>
        <w:t xml:space="preserve">4.3. Стоимость услуг «Исполнителя» в месяц рассчитывается исходя из количества «Объектов» в Перечне </w:t>
      </w:r>
      <w:r>
        <w:rPr>
          <w:color w:val="000000"/>
          <w:sz w:val="28"/>
          <w:szCs w:val="28"/>
        </w:rPr>
        <w:t>(Приложение №1 к настоящему Договору).</w:t>
      </w:r>
    </w:p>
    <w:p>
      <w:pPr>
        <w:pStyle w:val="Style18"/>
        <w:spacing w:lineRule="auto" w:line="240" w:before="0" w:after="0"/>
        <w:jc w:val="both"/>
        <w:rPr/>
      </w:pPr>
      <w:r>
        <w:rPr>
          <w:sz w:val="28"/>
          <w:szCs w:val="28"/>
        </w:rPr>
        <w:tab/>
        <w:t>4.4. В случае изменения количества «Объектов» в Перечне (Приложение к настоящему Договору), сторонами подписывается новый Перечень к Договору со следующим порядковым номером действующим с указанной в нем даты. Расчеты и реагирование производятся согласно Перечня с наибольшим порядковым номером.</w:t>
      </w:r>
    </w:p>
    <w:p>
      <w:pPr>
        <w:pStyle w:val="Style18"/>
        <w:spacing w:lineRule="auto" w:line="240" w:before="0" w:after="0"/>
        <w:jc w:val="both"/>
        <w:rPr/>
      </w:pPr>
      <w:r>
        <w:rPr>
          <w:sz w:val="28"/>
          <w:szCs w:val="28"/>
        </w:rPr>
        <w:tab/>
        <w:t>4.5. Абонентская плата в месяц по реагированию групп задержания (ГЗ) на сообщения о срабатывании охранной (охранно-пожарной) и (или) тревожной сигнализации, установленной на «Объекте» производится «Заказчиком» ежемесячно, независимо от фактического поступления от «Заказчика» сообщения о срабатывании охранной (охранно-пожарной) и (или) тревожной сигнализации, установленной на «Объекте», в безналичном порядке путем перечисления денежных средств на расчетный счет «Исполнителя» до 15 числа текущего месяца, на основании выставленного счета и подписанного Сторонами акта об оказании услуг (Приложение №2 к настоящему Договору).</w:t>
      </w:r>
    </w:p>
    <w:p>
      <w:pPr>
        <w:pStyle w:val="Style18"/>
        <w:spacing w:lineRule="auto" w:line="240" w:before="0" w:after="0"/>
        <w:jc w:val="both"/>
        <w:rPr/>
      </w:pPr>
      <w:r>
        <w:rPr>
          <w:sz w:val="28"/>
          <w:szCs w:val="28"/>
        </w:rPr>
        <w:tab/>
        <w:t>4.6. Фактом оплаты признается поступление денежных средств на расчетный счет «Исполнителя».</w:t>
      </w:r>
    </w:p>
    <w:p>
      <w:pPr>
        <w:pStyle w:val="Style18"/>
        <w:spacing w:lineRule="auto" w:line="240" w:before="0" w:after="0"/>
        <w:jc w:val="both"/>
        <w:rPr/>
      </w:pPr>
      <w:r>
        <w:rPr>
          <w:sz w:val="28"/>
          <w:szCs w:val="28"/>
        </w:rPr>
        <w:tab/>
        <w:t xml:space="preserve">4.7. Оплата за выезд группы задержания «Исполнителя» на ложный сигнал «Тревога» производится согласно действующему тарифу </w:t>
      </w:r>
      <w:r>
        <w:rPr>
          <w:color w:val="000000"/>
          <w:sz w:val="28"/>
          <w:szCs w:val="28"/>
          <w:shd w:fill="auto" w:val="clear"/>
        </w:rPr>
        <w:t xml:space="preserve">и </w:t>
      </w:r>
      <w:r>
        <w:rPr>
          <w:sz w:val="28"/>
          <w:szCs w:val="28"/>
          <w:shd w:fill="auto" w:val="clear"/>
        </w:rPr>
        <w:t>составляет 208,00 руб. за каждый случай ложного выезда группы задержания</w:t>
      </w:r>
      <w:r>
        <w:rPr>
          <w:sz w:val="28"/>
          <w:szCs w:val="28"/>
          <w:shd w:fill="auto" w:val="clear"/>
        </w:rPr>
        <w:t>.</w:t>
      </w:r>
      <w:r>
        <w:rPr>
          <w:sz w:val="28"/>
          <w:szCs w:val="28"/>
        </w:rPr>
        <w:t xml:space="preserve"> В случае получения ложного сигнала «Тревога» и установления факта отсутствия причин для вызова, «Исполнитель» составляет акт о ложном вызове. Оплата ложного вызова наряда ГЗ «Исполнителя» производится на основании счета, предоставленного одновременно с очередным платежом за услуги «Исполнителя».</w:t>
      </w:r>
    </w:p>
    <w:p>
      <w:pPr>
        <w:pStyle w:val="Style18"/>
        <w:spacing w:lineRule="auto" w:line="240" w:before="0" w:after="0"/>
        <w:jc w:val="both"/>
        <w:rPr/>
      </w:pPr>
      <w:r>
        <w:rPr>
          <w:sz w:val="28"/>
          <w:szCs w:val="28"/>
        </w:rPr>
        <w:tab/>
        <w:t>4.8. Цена Договора является твердой и определяется на весь срок исполнения Договора. При исполнении Договора  изменение его условий не допускается, за исключением случаев, предусмотренных частью 1 ст. 95 Федерального закона от 5 апреля 2013 г. № 44 - ФЗ «О контрактной системе в сфере закупок, товаров, работ, услуг для обеспечения государственных и муниципальных нужд».</w:t>
      </w:r>
    </w:p>
    <w:p>
      <w:pPr>
        <w:pStyle w:val="Style18"/>
        <w:spacing w:lineRule="auto" w:line="240" w:before="0" w:after="0"/>
        <w:jc w:val="both"/>
        <w:rPr/>
      </w:pPr>
      <w:r>
        <w:rPr>
          <w:sz w:val="28"/>
          <w:szCs w:val="28"/>
        </w:rPr>
        <w:tab/>
        <w:t>4.9. Если от «Заказчика» в течение 3-х дней с момента окончания расчетного периода не поступили возражения относительно оказанных в расчетном периоде услуг, то такие услуги считаются оказанными и принятыми «Заказчиком» в полном объеме и надлежащего качества.</w:t>
      </w:r>
    </w:p>
    <w:p>
      <w:pPr>
        <w:pStyle w:val="Style18"/>
        <w:spacing w:lineRule="auto" w:line="240" w:before="0" w:after="0"/>
        <w:jc w:val="both"/>
        <w:rPr/>
      </w:pPr>
      <w:r>
        <w:rPr>
          <w:sz w:val="28"/>
          <w:szCs w:val="28"/>
        </w:rPr>
        <w:tab/>
        <w:t xml:space="preserve">4.10. В случае досрочного расторжения настоящего Договора, Сторонами проводятся взаиморасчеты, исходя из стоимости фактически оказанных услуг на момент расторжения настоящего Договора. </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5. ОТВЕТСТВЕННОСТЬ СТОРОН</w:t>
      </w:r>
    </w:p>
    <w:p>
      <w:pPr>
        <w:pStyle w:val="Style18"/>
        <w:spacing w:lineRule="auto" w:line="240" w:before="0" w:after="0"/>
        <w:jc w:val="both"/>
        <w:rPr/>
      </w:pPr>
      <w:r>
        <w:rPr>
          <w:sz w:val="28"/>
          <w:szCs w:val="28"/>
        </w:rPr>
        <w:tab/>
        <w:t xml:space="preserve">5.1.За несвоевременную оплату оказанных «Исполнителем» услуг по реагированию групп задержания (ГЗ) на сообщения о срабатывании охранной (охранно-пожарной) и (или) тревожной сигнализации, установленной на «Объекте» «Заказчик» уплачивает «Исполнителю» пеню. </w:t>
      </w:r>
    </w:p>
    <w:p>
      <w:pPr>
        <w:pStyle w:val="Style18"/>
        <w:spacing w:lineRule="auto" w:line="240" w:before="0" w:after="0"/>
        <w:jc w:val="both"/>
        <w:rPr/>
      </w:pPr>
      <w:r>
        <w:rPr>
          <w:sz w:val="28"/>
          <w:szCs w:val="28"/>
        </w:rPr>
        <w:tab/>
        <w:t xml:space="preserve">5.2. Пеня начисляется за каждый день просрочки исполнения «Исполнителем» или «Заказчиком» обязательства, предусмотренного настоящим Договором, в размере 1/300 действующей на дату уплаты пени ставки рефинансирования Центрального банка Российской Федерации от цены договора, уменьшенной на сумму, пропорциональной объему обязательств, предусмотренных договором и фактически исполненных «Исполнителем». </w:t>
      </w:r>
    </w:p>
    <w:p>
      <w:pPr>
        <w:pStyle w:val="Style18"/>
        <w:spacing w:lineRule="auto" w:line="240" w:before="0" w:after="0"/>
        <w:jc w:val="both"/>
        <w:rPr/>
      </w:pPr>
      <w:r>
        <w:rPr>
          <w:sz w:val="28"/>
          <w:szCs w:val="28"/>
        </w:rPr>
        <w:tab/>
        <w:t>5.3. Стороны освобождаются от ответственности по настоящему договору при наступлении обстоятельств непреодолимой силы.</w:t>
      </w:r>
    </w:p>
    <w:p>
      <w:pPr>
        <w:pStyle w:val="Style18"/>
        <w:spacing w:lineRule="auto" w:line="240" w:before="0" w:after="0"/>
        <w:jc w:val="both"/>
        <w:rPr/>
      </w:pPr>
      <w:r>
        <w:rPr>
          <w:sz w:val="28"/>
          <w:szCs w:val="28"/>
        </w:rPr>
        <w:tab/>
        <w:t>5.4. «Исполнитель» не несет ответственность в случае причинения материального ущерба собственнику «Объекта».</w:t>
      </w:r>
    </w:p>
    <w:p>
      <w:pPr>
        <w:pStyle w:val="Style18"/>
        <w:spacing w:lineRule="auto" w:line="240" w:before="0" w:after="0"/>
        <w:jc w:val="both"/>
        <w:rPr/>
      </w:pPr>
      <w:r>
        <w:rPr>
          <w:sz w:val="28"/>
          <w:szCs w:val="28"/>
        </w:rPr>
        <w:tab/>
        <w:t xml:space="preserve">5.5. «Исполнитель» не несет ответственность за неисправность технических средств охраны, установленных на объекте. </w:t>
      </w:r>
    </w:p>
    <w:p>
      <w:pPr>
        <w:pStyle w:val="Style18"/>
        <w:spacing w:lineRule="auto" w:line="240" w:before="0" w:after="0"/>
        <w:jc w:val="both"/>
        <w:rPr/>
      </w:pPr>
      <w:r>
        <w:rPr>
          <w:sz w:val="28"/>
          <w:szCs w:val="28"/>
        </w:rPr>
        <w:tab/>
        <w:t xml:space="preserve">5.6. «Исполнитель» несет ответственность перед «Заказчиком» в случае неисполнения или ненадлежащего исполнения своих договорных обязательств. </w:t>
      </w:r>
    </w:p>
    <w:p>
      <w:pPr>
        <w:pStyle w:val="Style18"/>
        <w:spacing w:lineRule="auto" w:line="240" w:before="0" w:after="0"/>
        <w:jc w:val="both"/>
        <w:rPr/>
      </w:pPr>
      <w:r>
        <w:rPr>
          <w:sz w:val="28"/>
          <w:szCs w:val="28"/>
        </w:rPr>
        <w:tab/>
        <w:t>5.7. Под неисполнением или ненадлежащим исполнением своих договорных обязательства понимается неприбытие сотрудников исполнителя на объект в течение времени, предусмотренного п. 3.2.1. настоящего Договора.</w:t>
      </w:r>
    </w:p>
    <w:p>
      <w:pPr>
        <w:pStyle w:val="Style18"/>
        <w:spacing w:lineRule="auto" w:line="240" w:before="0" w:after="0"/>
        <w:jc w:val="both"/>
        <w:rPr/>
      </w:pPr>
      <w:r>
        <w:rPr>
          <w:sz w:val="28"/>
          <w:szCs w:val="28"/>
        </w:rPr>
        <w:tab/>
        <w:t>5.8. Претензия к «Исполнителю» по каждому случаю неисполнения или ненадлежащего исполнения своих договорных обязательств предъявляется не позднее дня, следующего за днем, когда неисполнение или ненадлежащее исполнение своих договорных обязательств исполнителем имело место, и рассматривается «Исполнителем» в срок до 10-ти календарных дней.</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6. ОБСТОЯТЕЛЬСТВА  НЕПРЕОДОЛИМОЙ СИЛЫ.</w:t>
      </w:r>
    </w:p>
    <w:p>
      <w:pPr>
        <w:pStyle w:val="Style18"/>
        <w:spacing w:lineRule="auto" w:line="240" w:before="0" w:after="0"/>
        <w:jc w:val="both"/>
        <w:rPr/>
      </w:pPr>
      <w:r>
        <w:rPr>
          <w:sz w:val="28"/>
          <w:szCs w:val="28"/>
        </w:rPr>
        <w:tab/>
        <w:t xml:space="preserve">6.1. Наличие обстоятельств непреодолимой силы, непредвиденных, неконтролируемых, непредсказуемых, делающих исполнение условий настоящего договора невозможным,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исполнения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Style18"/>
        <w:spacing w:lineRule="auto" w:line="240" w:before="0" w:after="0"/>
        <w:jc w:val="both"/>
        <w:rPr/>
      </w:pPr>
      <w:r>
        <w:rPr>
          <w:sz w:val="28"/>
          <w:szCs w:val="28"/>
        </w:rPr>
        <w:tab/>
        <w:t xml:space="preserve">6.2. Срок исполнения «Сторонами»  обязательств по настоящему договору отодвигается на срок действия таких обстоятельств, но не более чем на один месяц. По истечении этого срока Стороны имеют право отказаться от дальнейшего выполнения взятых на себя обязательств и расторгнуть Договор, предварительно уведомив другую «Сторону» не позднее чем за 10 (десять) дней до даты расторжения договора. </w:t>
      </w:r>
    </w:p>
    <w:p>
      <w:pPr>
        <w:pStyle w:val="Style18"/>
        <w:spacing w:lineRule="auto" w:line="240" w:before="0" w:after="0"/>
        <w:jc w:val="both"/>
        <w:rPr/>
      </w:pPr>
      <w:r>
        <w:rPr>
          <w:sz w:val="28"/>
          <w:szCs w:val="28"/>
        </w:rPr>
        <w:tab/>
        <w:t xml:space="preserve">6.3.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в течение трех дней письменно известить другую сторону о наступлении и прекращении этих обстоятельств. Надлежащим доказательств наличие указанных выше обстоятельств являются документы соответствующих компетентных органов или организаций. </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7. СРОК ДЕЙСТВИЯ ДОГОВОРА И ПОРЯДОК ЕГО РАСТОРЖЕНИЯ.</w:t>
      </w:r>
    </w:p>
    <w:p>
      <w:pPr>
        <w:pStyle w:val="Style18"/>
        <w:spacing w:lineRule="auto" w:line="240" w:before="0" w:after="0"/>
        <w:jc w:val="both"/>
        <w:rPr/>
      </w:pPr>
      <w:r>
        <w:rPr>
          <w:sz w:val="28"/>
          <w:szCs w:val="28"/>
        </w:rPr>
        <w:tab/>
        <w:t xml:space="preserve">7.1. Настоящий договор вступает в силу с момента его подписания «Сторонами» и действует по «___» ________ 202__ года, а в части взаиморасчетов до полного исполнения «Сторонами» своих обязательств по настоящему Договору. </w:t>
      </w:r>
    </w:p>
    <w:p>
      <w:pPr>
        <w:pStyle w:val="Style18"/>
        <w:spacing w:lineRule="auto" w:line="240" w:before="0" w:after="0"/>
        <w:jc w:val="both"/>
        <w:rPr/>
      </w:pPr>
      <w:r>
        <w:rPr>
          <w:sz w:val="28"/>
          <w:szCs w:val="28"/>
        </w:rPr>
        <w:tab/>
        <w:t xml:space="preserve">7.2. Расторжение договора допускается по соглашению «Сторон», по решению суда, в случае одностороннего отказа «Стороны» договора от исполнения договора в соответствии с гражданским законодательством. </w:t>
      </w:r>
    </w:p>
    <w:p>
      <w:pPr>
        <w:pStyle w:val="Style18"/>
        <w:spacing w:lineRule="auto" w:line="240" w:before="0" w:after="0"/>
        <w:jc w:val="both"/>
        <w:rPr/>
      </w:pPr>
      <w:r>
        <w:rPr>
          <w:sz w:val="28"/>
          <w:szCs w:val="28"/>
        </w:rPr>
        <w:tab/>
        <w:t xml:space="preserve">7.3. В случае одностороннего отказа от исполнения договора, «Сторона», принявшая такое решение, уведомляет другую сторону за 15 календарных дней до даты расторжения договора. </w:t>
      </w:r>
    </w:p>
    <w:p>
      <w:pPr>
        <w:pStyle w:val="Style18"/>
        <w:spacing w:lineRule="auto" w:line="240" w:before="0" w:after="0"/>
        <w:jc w:val="both"/>
        <w:rPr/>
      </w:pPr>
      <w:r>
        <w:rPr>
          <w:sz w:val="28"/>
          <w:szCs w:val="28"/>
        </w:rPr>
        <w:tab/>
        <w:t xml:space="preserve">7.4. «Исполнитель» вправе расторгнуть договор в одностороннем порядке до истечения срока его действия в случае возникновения технических или организационных причин,  при которых осуществление «Исполнителем» принятых на себя обязательств (неоплата услуг «Исполнителя»  более одного месяца, ликвидация ПЦН, наличие имущественного спора и т.п.) невозможно. </w:t>
      </w:r>
    </w:p>
    <w:p>
      <w:pPr>
        <w:pStyle w:val="Style18"/>
        <w:spacing w:lineRule="auto" w:line="240" w:before="0" w:after="0"/>
        <w:jc w:val="both"/>
        <w:rPr>
          <w:sz w:val="28"/>
          <w:szCs w:val="28"/>
        </w:rPr>
      </w:pPr>
      <w:r>
        <w:rPr>
          <w:sz w:val="28"/>
          <w:szCs w:val="28"/>
        </w:rPr>
      </w:r>
    </w:p>
    <w:p>
      <w:pPr>
        <w:pStyle w:val="Style18"/>
        <w:spacing w:lineRule="auto" w:line="240" w:before="0" w:after="0"/>
        <w:jc w:val="center"/>
        <w:rPr/>
      </w:pPr>
      <w:r>
        <w:rPr>
          <w:sz w:val="28"/>
          <w:szCs w:val="28"/>
        </w:rPr>
        <w:t>8. ПРОЧИЕ УСЛОВИЯ.</w:t>
      </w:r>
    </w:p>
    <w:p>
      <w:pPr>
        <w:pStyle w:val="Style18"/>
        <w:spacing w:lineRule="auto" w:line="240" w:before="0" w:after="0"/>
        <w:jc w:val="both"/>
        <w:rPr/>
      </w:pPr>
      <w:r>
        <w:rPr>
          <w:sz w:val="28"/>
          <w:szCs w:val="28"/>
        </w:rPr>
        <w:tab/>
        <w:t xml:space="preserve">8.1. Все споры по настоящему договору должны решаться «Сторонами» путем переговоров, а в случае невозможности достичь соглашения – в установленном законодательством Российской Федерации порядке. </w:t>
      </w:r>
    </w:p>
    <w:p>
      <w:pPr>
        <w:pStyle w:val="Style18"/>
        <w:spacing w:lineRule="auto" w:line="240" w:before="0" w:after="0"/>
        <w:jc w:val="both"/>
        <w:rPr/>
      </w:pPr>
      <w:r>
        <w:rPr>
          <w:sz w:val="28"/>
          <w:szCs w:val="28"/>
        </w:rPr>
        <w:tab/>
        <w:t xml:space="preserve">8.2. В случае неурегулирования разногласий, спор передается на рассмотрение в установленном законом порядке Арбитражному суду КБР. </w:t>
      </w:r>
    </w:p>
    <w:p>
      <w:pPr>
        <w:pStyle w:val="Style18"/>
        <w:spacing w:lineRule="auto" w:line="240" w:before="0" w:after="0"/>
        <w:jc w:val="both"/>
        <w:rPr/>
      </w:pPr>
      <w:r>
        <w:rPr>
          <w:sz w:val="28"/>
          <w:szCs w:val="28"/>
        </w:rPr>
        <w:tab/>
        <w:t xml:space="preserve">8.3. Доказательством оказания услуг по настоящему договору, наряду с иными доказательствами может являться отчет, полученный «Исполнителем» с помощью программного обеспечения системы передачи извещений (распечатка с ПЦН – протокол событий автоматизированного рабочего места). </w:t>
      </w:r>
    </w:p>
    <w:p>
      <w:pPr>
        <w:pStyle w:val="Style18"/>
        <w:spacing w:lineRule="auto" w:line="240" w:before="0" w:after="0"/>
        <w:jc w:val="both"/>
        <w:rPr/>
      </w:pPr>
      <w:r>
        <w:rPr>
          <w:sz w:val="28"/>
          <w:szCs w:val="28"/>
        </w:rPr>
        <w:tab/>
        <w:t xml:space="preserve">8.4. Взаимоотношения, неурегулированные условиями настоящего договора регулируются законодательством Российской Федерации. </w:t>
      </w:r>
    </w:p>
    <w:p>
      <w:pPr>
        <w:pStyle w:val="Style18"/>
        <w:spacing w:lineRule="auto" w:line="240" w:before="0" w:after="0"/>
        <w:jc w:val="both"/>
        <w:rPr/>
      </w:pPr>
      <w:r>
        <w:rPr>
          <w:sz w:val="28"/>
          <w:szCs w:val="28"/>
        </w:rPr>
        <w:tab/>
        <w:t xml:space="preserve">8.5. «Стороны» договорились, что информация, которой они обмениваются в рамках подготовки, а также в процессе исполнения настоящего договора, носит конфиденциальный характер, являясь ценной для сторон и неподлежащей разглашению, поскольку составляет служебную или коммерческую тайну. </w:t>
      </w:r>
    </w:p>
    <w:p>
      <w:pPr>
        <w:pStyle w:val="Style18"/>
        <w:spacing w:lineRule="auto" w:line="240" w:before="0" w:after="0"/>
        <w:jc w:val="both"/>
        <w:rPr/>
      </w:pPr>
      <w:r>
        <w:rPr>
          <w:sz w:val="28"/>
          <w:szCs w:val="28"/>
        </w:rPr>
        <w:tab/>
        <w:t xml:space="preserve">8.6. Все изменения или дополнения к настоящему договору могут быть оформлены только в письменном виде, подписаны уполномоченными на то представителями сторон и должны содержать прямую ссылку на настоящий договор. </w:t>
      </w:r>
    </w:p>
    <w:p>
      <w:pPr>
        <w:pStyle w:val="Style18"/>
        <w:spacing w:lineRule="auto" w:line="240" w:before="0" w:after="0"/>
        <w:jc w:val="both"/>
        <w:rPr/>
      </w:pPr>
      <w:r>
        <w:rPr>
          <w:sz w:val="28"/>
          <w:szCs w:val="28"/>
        </w:rPr>
        <w:tab/>
        <w:t xml:space="preserve">8.7. В случае изменения банковских или иных реквизитов Сторон, сторона, реквизиты которой изменились, обязана уведомить другую «Сторону» о таких изменениях в 3-х дневный срок. </w:t>
      </w:r>
    </w:p>
    <w:p>
      <w:pPr>
        <w:pStyle w:val="Style18"/>
        <w:spacing w:lineRule="auto" w:line="240" w:before="0" w:after="0"/>
        <w:jc w:val="both"/>
        <w:rPr/>
      </w:pPr>
      <w:r>
        <w:rPr>
          <w:sz w:val="28"/>
          <w:szCs w:val="28"/>
        </w:rPr>
        <w:tab/>
        <w:t xml:space="preserve">8.8. Настоящий договор с приложениями составлен в двух экземплярах, каждый их которых имеет одинаковую юридическую силу. Первый находится у «Заказчика», второй у «Исполнителя». Приложения являются неотъемлемой частью настоящего договора. </w:t>
      </w:r>
    </w:p>
    <w:p>
      <w:pPr>
        <w:pStyle w:val="Style18"/>
        <w:spacing w:lineRule="auto" w:line="240" w:before="0" w:after="0"/>
        <w:jc w:val="both"/>
        <w:rPr/>
      </w:pPr>
      <w:r>
        <w:rPr>
          <w:sz w:val="28"/>
          <w:szCs w:val="28"/>
        </w:rPr>
        <w:t xml:space="preserve">Приложение: </w:t>
      </w:r>
    </w:p>
    <w:p>
      <w:pPr>
        <w:pStyle w:val="Style18"/>
        <w:spacing w:lineRule="auto" w:line="240" w:before="0" w:after="0"/>
        <w:jc w:val="both"/>
        <w:rPr/>
      </w:pPr>
      <w:r>
        <w:rPr>
          <w:sz w:val="28"/>
          <w:szCs w:val="28"/>
        </w:rPr>
        <w:tab/>
        <w:t>1. Перечень объектов, подлежащих реагированию при поступлении тревожного сообщения.</w:t>
      </w:r>
    </w:p>
    <w:p>
      <w:pPr>
        <w:pStyle w:val="Style18"/>
        <w:spacing w:lineRule="auto" w:line="240" w:before="0" w:after="0"/>
        <w:jc w:val="both"/>
        <w:rPr/>
      </w:pPr>
      <w:r>
        <w:rPr>
          <w:sz w:val="28"/>
          <w:szCs w:val="28"/>
        </w:rPr>
        <w:tab/>
        <w:t xml:space="preserve">2. Акт об оказании услуг. </w:t>
      </w:r>
    </w:p>
    <w:p>
      <w:pPr>
        <w:pStyle w:val="Style18"/>
        <w:spacing w:before="0" w:after="0"/>
        <w:jc w:val="center"/>
        <w:rPr>
          <w:sz w:val="28"/>
          <w:szCs w:val="28"/>
        </w:rPr>
      </w:pPr>
      <w:r>
        <w:rPr>
          <w:color w:val="000000"/>
          <w:spacing w:val="-4"/>
          <w:sz w:val="28"/>
          <w:szCs w:val="28"/>
        </w:rPr>
        <w:t>9. ЮРИДИЧЕСКИЕ АДРЕСА И РЕКВИЗИТЫ СТОРОН.</w:t>
      </w:r>
      <w:r>
        <w:rPr>
          <w:color w:val="000000"/>
          <w:spacing w:val="-7"/>
          <w:sz w:val="28"/>
          <w:szCs w:val="28"/>
        </w:rPr>
        <w:t xml:space="preserve">                 </w:t>
      </w:r>
    </w:p>
    <w:tbl>
      <w:tblPr>
        <w:tblW w:w="19159"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10372"/>
        <w:gridCol w:w="8315"/>
        <w:gridCol w:w="236"/>
        <w:gridCol w:w="235"/>
      </w:tblGrid>
      <w:tr>
        <w:trPr>
          <w:trHeight w:val="4755" w:hRule="atLeast"/>
        </w:trPr>
        <w:tc>
          <w:tcPr>
            <w:tcW w:w="10372" w:type="dxa"/>
            <w:tcBorders/>
          </w:tcPr>
          <w:tbl>
            <w:tblPr>
              <w:tblW w:w="2031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814"/>
              <w:gridCol w:w="15499"/>
            </w:tblGrid>
            <w:tr>
              <w:trPr/>
              <w:tc>
                <w:tcPr>
                  <w:tcW w:w="4814" w:type="dxa"/>
                  <w:tcBorders/>
                </w:tcPr>
                <w:p>
                  <w:pPr>
                    <w:pStyle w:val="Normal"/>
                    <w:widowControl w:val="false"/>
                    <w:jc w:val="both"/>
                    <w:rPr>
                      <w:b/>
                      <w:b/>
                      <w:bCs/>
                    </w:rPr>
                  </w:pPr>
                  <w:r>
                    <w:rPr>
                      <w:b/>
                      <w:bCs/>
                      <w:color w:val="000000"/>
                      <w:spacing w:val="-7"/>
                    </w:rPr>
                    <w:t>«ИСПОЛНИТЕЛЬ»</w:t>
                  </w:r>
                </w:p>
                <w:p>
                  <w:pPr>
                    <w:pStyle w:val="Normal"/>
                    <w:widowControl w:val="false"/>
                    <w:jc w:val="both"/>
                    <w:rPr/>
                  </w:pPr>
                  <w:r>
                    <w:rPr>
                      <w:bCs/>
                      <w:color w:val="000000"/>
                      <w:spacing w:val="-7"/>
                    </w:rPr>
                    <w:t>ФГКУ «УВО ВНГ России по КБР</w:t>
                  </w:r>
                </w:p>
                <w:p>
                  <w:pPr>
                    <w:pStyle w:val="Normal"/>
                    <w:widowControl w:val="false"/>
                    <w:jc w:val="both"/>
                    <w:rPr/>
                  </w:pPr>
                  <w:r>
                    <w:rPr>
                      <w:spacing w:val="-1"/>
                    </w:rPr>
                    <w:t>Фактич. адрес: КБР, г.Нальчик, ул.Шалушкинская,1 «а»</w:t>
                  </w:r>
                </w:p>
                <w:p>
                  <w:pPr>
                    <w:pStyle w:val="Normal"/>
                    <w:widowControl w:val="false"/>
                    <w:jc w:val="both"/>
                    <w:rPr/>
                  </w:pPr>
                  <w:r>
                    <w:rPr>
                      <w:spacing w:val="-1"/>
                    </w:rPr>
                    <w:t>Банковские реквизиты:</w:t>
                  </w:r>
                </w:p>
                <w:p>
                  <w:pPr>
                    <w:pStyle w:val="Normal"/>
                    <w:widowControl w:val="false"/>
                    <w:jc w:val="both"/>
                    <w:rPr/>
                  </w:pPr>
                  <w:r>
                    <w:rPr>
                      <w:spacing w:val="-1"/>
                    </w:rPr>
                    <w:t>Банк получателя: Отделение - НБ КАБАРДИНО-БАЛКАРСКАЯ РЕСПУБЛИКА г.Нальчик в УФК по КБР (0400 ФГКУ «УВО ВНГ России по КБР)</w:t>
                  </w:r>
                </w:p>
                <w:p>
                  <w:pPr>
                    <w:pStyle w:val="Normal"/>
                    <w:widowControl w:val="false"/>
                    <w:jc w:val="both"/>
                    <w:rPr/>
                  </w:pPr>
                  <w:r>
                    <w:rPr>
                      <w:spacing w:val="-1"/>
                    </w:rPr>
                    <w:t>р/сч. 03100643000000010400</w:t>
                  </w:r>
                </w:p>
                <w:p>
                  <w:pPr>
                    <w:pStyle w:val="Normal"/>
                    <w:widowControl w:val="false"/>
                    <w:jc w:val="both"/>
                    <w:rPr/>
                  </w:pPr>
                  <w:r>
                    <w:rPr>
                      <w:spacing w:val="-1"/>
                    </w:rPr>
                    <w:t>к/сч. 40102810145370000070</w:t>
                  </w:r>
                </w:p>
                <w:p>
                  <w:pPr>
                    <w:pStyle w:val="Normal"/>
                    <w:widowControl w:val="false"/>
                    <w:jc w:val="both"/>
                    <w:rPr/>
                  </w:pPr>
                  <w:r>
                    <w:rPr>
                      <w:spacing w:val="-1"/>
                    </w:rPr>
                    <w:t>Получатель: УФК по Кабардино-Балкарской Республике (ФГКУ «УВО ВНГ РОССИИ ПО КБР»</w:t>
                  </w:r>
                </w:p>
                <w:p>
                  <w:pPr>
                    <w:pStyle w:val="Normal"/>
                    <w:widowControl w:val="false"/>
                    <w:jc w:val="both"/>
                    <w:rPr/>
                  </w:pPr>
                  <w:r>
                    <w:rPr/>
                    <w:t>л/сч 04041</w:t>
                  </w:r>
                  <w:r>
                    <w:rPr>
                      <w:lang w:val="en-US"/>
                    </w:rPr>
                    <w:t>D</w:t>
                  </w:r>
                  <w:r>
                    <w:rPr/>
                    <w:t>18050)</w:t>
                  </w:r>
                </w:p>
                <w:p>
                  <w:pPr>
                    <w:pStyle w:val="Normal"/>
                    <w:widowControl w:val="false"/>
                    <w:jc w:val="both"/>
                    <w:rPr/>
                  </w:pPr>
                  <w:r>
                    <w:rPr>
                      <w:spacing w:val="-1"/>
                    </w:rPr>
                    <w:t>ИНН 0726006115  КПП  072601001 БИК  018327106</w:t>
                  </w:r>
                </w:p>
                <w:p>
                  <w:pPr>
                    <w:pStyle w:val="Normal"/>
                    <w:widowControl w:val="false"/>
                    <w:jc w:val="both"/>
                    <w:rPr/>
                  </w:pPr>
                  <w:r>
                    <w:rPr>
                      <w:spacing w:val="-1"/>
                    </w:rPr>
                    <w:t>ОКТМО 83701000 УИН 0</w:t>
                  </w:r>
                </w:p>
                <w:p>
                  <w:pPr>
                    <w:pStyle w:val="Normal"/>
                    <w:widowControl w:val="false"/>
                    <w:jc w:val="both"/>
                    <w:rPr/>
                  </w:pPr>
                  <w:r>
                    <w:rPr>
                      <w:spacing w:val="-1"/>
                    </w:rPr>
                    <w:t>Назначение платежа: КБК 180113010810170 00130</w:t>
                  </w:r>
                  <w:r>
                    <w:rPr>
                      <w:b/>
                      <w:bCs/>
                      <w:color w:val="000000"/>
                      <w:spacing w:val="-1"/>
                      <w:sz w:val="18"/>
                      <w:szCs w:val="18"/>
                      <w:lang w:eastAsia="en-US"/>
                    </w:rPr>
                    <w:t>л/с 04041</w:t>
                  </w:r>
                  <w:r>
                    <w:rPr>
                      <w:b/>
                      <w:bCs/>
                      <w:color w:val="000000"/>
                      <w:spacing w:val="-1"/>
                      <w:sz w:val="18"/>
                      <w:szCs w:val="18"/>
                      <w:lang w:val="en-US" w:eastAsia="en-US"/>
                    </w:rPr>
                    <w:t>D</w:t>
                  </w:r>
                  <w:r>
                    <w:rPr>
                      <w:b/>
                      <w:bCs/>
                      <w:color w:val="000000"/>
                      <w:spacing w:val="-1"/>
                      <w:sz w:val="18"/>
                      <w:szCs w:val="18"/>
                      <w:lang w:eastAsia="en-US"/>
                    </w:rPr>
                    <w:t>18050 за охрану объекта с/но сч №______от___________202__ г.</w:t>
                  </w:r>
                </w:p>
                <w:p>
                  <w:pPr>
                    <w:pStyle w:val="Normal"/>
                    <w:widowControl w:val="false"/>
                    <w:ind w:left="-20" w:hanging="0"/>
                    <w:jc w:val="both"/>
                    <w:rPr/>
                  </w:pPr>
                  <w:r>
                    <w:rPr>
                      <w:color w:val="000000"/>
                      <w:spacing w:val="-1"/>
                      <w:lang w:eastAsia="en-US"/>
                    </w:rPr>
                    <w:t>идентификатор ЭДО:</w:t>
                  </w:r>
                </w:p>
                <w:p>
                  <w:pPr>
                    <w:pStyle w:val="Normal"/>
                    <w:widowControl w:val="false"/>
                    <w:spacing w:lineRule="auto" w:line="276"/>
                    <w:ind w:left="-20" w:hanging="0"/>
                    <w:jc w:val="both"/>
                    <w:rPr/>
                  </w:pPr>
                  <w:r>
                    <w:rPr>
                      <w:color w:val="000000"/>
                      <w:spacing w:val="-1"/>
                      <w:sz w:val="18"/>
                      <w:szCs w:val="18"/>
                      <w:lang w:eastAsia="en-US"/>
                    </w:rPr>
                    <w:t>2АЕСА850В9F-6DE1-421F-B9EE-29C2E37EC39C</w:t>
                  </w:r>
                </w:p>
              </w:tc>
              <w:tc>
                <w:tcPr>
                  <w:tcW w:w="15499" w:type="dxa"/>
                  <w:tcBorders/>
                </w:tcPr>
                <w:p>
                  <w:pPr>
                    <w:pStyle w:val="Normal"/>
                    <w:widowControl w:val="false"/>
                    <w:ind w:left="310" w:right="154" w:hanging="0"/>
                    <w:jc w:val="both"/>
                    <w:rPr>
                      <w:b/>
                      <w:b/>
                      <w:color w:val="000000"/>
                      <w:spacing w:val="-7"/>
                    </w:rPr>
                  </w:pPr>
                  <w:r>
                    <w:rPr>
                      <w:b/>
                      <w:color w:val="000000"/>
                      <w:spacing w:val="-7"/>
                      <w:lang w:eastAsia="en-US"/>
                    </w:rPr>
                    <w:t xml:space="preserve">                                            </w:t>
                  </w:r>
                  <w:r>
                    <w:rPr>
                      <w:b/>
                      <w:bCs/>
                      <w:color w:val="000000"/>
                      <w:spacing w:val="-7"/>
                    </w:rPr>
                    <w:t>«ЗАКАЗЧИК»</w:t>
                  </w:r>
                </w:p>
                <w:p>
                  <w:pPr>
                    <w:pStyle w:val="Normal"/>
                    <w:widowControl w:val="false"/>
                    <w:ind w:left="340" w:right="624" w:hanging="0"/>
                    <w:jc w:val="both"/>
                    <w:rPr>
                      <w:b/>
                      <w:b/>
                      <w:color w:val="000000"/>
                      <w:spacing w:val="-7"/>
                    </w:rPr>
                  </w:pPr>
                  <w:r>
                    <w:rPr>
                      <w:color w:val="000000"/>
                      <w:spacing w:val="-7"/>
                    </w:rPr>
                  </w:r>
                </w:p>
              </w:tc>
            </w:tr>
          </w:tbl>
          <w:p>
            <w:pPr>
              <w:pStyle w:val="Normal"/>
              <w:widowControl w:val="false"/>
              <w:rPr/>
            </w:pPr>
            <w:r>
              <w:rPr/>
            </w:r>
          </w:p>
        </w:tc>
        <w:tc>
          <w:tcPr>
            <w:tcW w:w="8315" w:type="dxa"/>
            <w:tcBorders/>
          </w:tcPr>
          <w:tbl>
            <w:tblPr>
              <w:tblW w:w="19159"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0133"/>
              <w:gridCol w:w="9025"/>
            </w:tblGrid>
            <w:tr>
              <w:trPr>
                <w:trHeight w:val="4875" w:hRule="atLeast"/>
              </w:trPr>
              <w:tc>
                <w:tcPr>
                  <w:tcW w:w="10133" w:type="dxa"/>
                  <w:tcBorders/>
                </w:tcPr>
                <w:p>
                  <w:pPr>
                    <w:pStyle w:val="Normal"/>
                    <w:widowControl w:val="false"/>
                    <w:spacing w:lineRule="auto" w:line="276"/>
                    <w:ind w:right="154" w:hanging="0"/>
                    <w:jc w:val="center"/>
                    <w:rPr>
                      <w:b/>
                      <w:b/>
                      <w:bCs/>
                      <w:color w:val="000000"/>
                      <w:spacing w:val="-7"/>
                      <w:lang w:eastAsia="en-US"/>
                    </w:rPr>
                  </w:pPr>
                  <w:r>
                    <w:rPr>
                      <w:b/>
                      <w:bCs/>
                      <w:color w:val="000000"/>
                      <w:spacing w:val="-7"/>
                      <w:lang w:eastAsia="en-US"/>
                    </w:rPr>
                    <w:t>«ИСПОЛНИТЕЛЬ»</w:t>
                  </w:r>
                </w:p>
                <w:p>
                  <w:pPr>
                    <w:pStyle w:val="Normal"/>
                    <w:widowControl w:val="false"/>
                    <w:spacing w:lineRule="auto" w:line="276"/>
                    <w:ind w:right="154" w:hanging="0"/>
                    <w:jc w:val="center"/>
                    <w:rPr>
                      <w:b/>
                      <w:b/>
                      <w:bCs/>
                      <w:color w:val="000000"/>
                      <w:spacing w:val="-7"/>
                      <w:lang w:eastAsia="en-US"/>
                    </w:rPr>
                  </w:pPr>
                  <w:r>
                    <w:rPr>
                      <w:b/>
                      <w:bCs/>
                      <w:color w:val="000000"/>
                      <w:spacing w:val="-7"/>
                      <w:lang w:eastAsia="en-US"/>
                    </w:rPr>
                    <w:t>ФГКУ «УВО ВНГ России по КБР»</w:t>
                  </w:r>
                </w:p>
                <w:p>
                  <w:pPr>
                    <w:pStyle w:val="Normal"/>
                    <w:widowControl w:val="false"/>
                    <w:spacing w:lineRule="auto" w:line="276"/>
                    <w:ind w:right="154" w:hanging="0"/>
                    <w:jc w:val="center"/>
                    <w:rPr>
                      <w:b/>
                      <w:b/>
                      <w:bCs/>
                      <w:color w:val="000000"/>
                      <w:spacing w:val="-7"/>
                      <w:lang w:eastAsia="en-US"/>
                    </w:rPr>
                  </w:pPr>
                  <w:r>
                    <w:rPr>
                      <w:b/>
                      <w:bCs/>
                      <w:color w:val="000000"/>
                      <w:spacing w:val="-7"/>
                      <w:lang w:eastAsia="en-US"/>
                    </w:rPr>
                  </w:r>
                </w:p>
                <w:p>
                  <w:pPr>
                    <w:pStyle w:val="Normal"/>
                    <w:widowControl w:val="false"/>
                    <w:shd w:val="clear" w:color="auto" w:fill="FFFFFF"/>
                    <w:spacing w:lineRule="auto" w:line="276"/>
                    <w:ind w:right="154" w:hanging="0"/>
                    <w:rPr>
                      <w:b/>
                      <w:b/>
                      <w:bCs/>
                      <w:color w:val="000000"/>
                      <w:spacing w:val="-1"/>
                      <w:lang w:eastAsia="en-US"/>
                    </w:rPr>
                  </w:pPr>
                  <w:r>
                    <w:rPr>
                      <w:b/>
                      <w:bCs/>
                      <w:color w:val="000000"/>
                      <w:spacing w:val="-1"/>
                      <w:lang w:eastAsia="en-US"/>
                    </w:rPr>
                  </w:r>
                </w:p>
              </w:tc>
              <w:tc>
                <w:tcPr>
                  <w:tcW w:w="9025" w:type="dxa"/>
                  <w:tcBorders/>
                </w:tcPr>
                <w:p>
                  <w:pPr>
                    <w:pStyle w:val="Normal"/>
                    <w:widowControl w:val="false"/>
                    <w:spacing w:lineRule="auto" w:line="276"/>
                    <w:ind w:right="154" w:hanging="0"/>
                    <w:jc w:val="center"/>
                    <w:rPr>
                      <w:b/>
                      <w:b/>
                      <w:color w:val="000000"/>
                      <w:spacing w:val="-7"/>
                      <w:lang w:eastAsia="en-US"/>
                    </w:rPr>
                  </w:pPr>
                  <w:r>
                    <w:rPr>
                      <w:b/>
                      <w:color w:val="000000"/>
                      <w:spacing w:val="-7"/>
                      <w:lang w:eastAsia="en-US"/>
                    </w:rPr>
                    <w:t xml:space="preserve">              </w:t>
                  </w:r>
                  <w:r>
                    <w:rPr>
                      <w:b/>
                      <w:color w:val="000000"/>
                      <w:spacing w:val="-7"/>
                      <w:lang w:eastAsia="en-US"/>
                    </w:rPr>
                    <w:t>«ЗАКАЗЧИК»</w:t>
                  </w:r>
                </w:p>
                <w:p>
                  <w:pPr>
                    <w:pStyle w:val="Normal"/>
                    <w:widowControl w:val="false"/>
                    <w:spacing w:lineRule="auto" w:line="276"/>
                    <w:ind w:left="720" w:right="154" w:hanging="0"/>
                    <w:jc w:val="center"/>
                    <w:rPr>
                      <w:b/>
                      <w:b/>
                      <w:color w:val="000000"/>
                      <w:spacing w:val="-7"/>
                      <w:lang w:eastAsia="en-US"/>
                    </w:rPr>
                  </w:pPr>
                  <w:r>
                    <w:rPr>
                      <w:b/>
                      <w:color w:val="000000"/>
                      <w:spacing w:val="-7"/>
                      <w:lang w:eastAsia="en-US"/>
                    </w:rPr>
                    <w:t>Индивидуальный предприниматель</w:t>
                  </w:r>
                </w:p>
                <w:p>
                  <w:pPr>
                    <w:pStyle w:val="Normal"/>
                    <w:widowControl w:val="false"/>
                    <w:spacing w:lineRule="auto" w:line="276"/>
                    <w:ind w:left="720" w:right="154" w:hanging="0"/>
                    <w:jc w:val="center"/>
                    <w:rPr>
                      <w:b/>
                      <w:b/>
                      <w:color w:val="000000"/>
                      <w:spacing w:val="-7"/>
                      <w:lang w:eastAsia="en-US"/>
                    </w:rPr>
                  </w:pPr>
                  <w:r>
                    <w:rPr>
                      <w:b/>
                      <w:color w:val="000000"/>
                      <w:spacing w:val="-7"/>
                      <w:lang w:eastAsia="en-US"/>
                    </w:rPr>
                    <w:t>Сейнян Т.И.</w:t>
                  </w:r>
                </w:p>
                <w:p>
                  <w:pPr>
                    <w:pStyle w:val="Normal"/>
                    <w:widowControl w:val="false"/>
                    <w:spacing w:lineRule="auto" w:line="276"/>
                    <w:ind w:left="720" w:right="154" w:hanging="0"/>
                    <w:jc w:val="center"/>
                    <w:rPr>
                      <w:color w:val="000000"/>
                      <w:spacing w:val="-7"/>
                      <w:lang w:eastAsia="en-US"/>
                    </w:rPr>
                  </w:pPr>
                  <w:r>
                    <w:rPr>
                      <w:color w:val="000000"/>
                      <w:spacing w:val="-7"/>
                      <w:lang w:eastAsia="en-US"/>
                    </w:rPr>
                  </w:r>
                </w:p>
                <w:p>
                  <w:pPr>
                    <w:pStyle w:val="Normal"/>
                    <w:widowControl w:val="false"/>
                    <w:spacing w:lineRule="auto" w:line="276"/>
                    <w:rPr>
                      <w:bCs/>
                      <w:color w:val="000000"/>
                      <w:spacing w:val="-7"/>
                      <w:lang w:eastAsia="en-US"/>
                    </w:rPr>
                  </w:pPr>
                  <w:r>
                    <w:rPr>
                      <w:bCs/>
                      <w:color w:val="000000"/>
                      <w:spacing w:val="-7"/>
                      <w:lang w:eastAsia="en-US"/>
                    </w:rPr>
                    <w:t>Адрес объекта:</w:t>
                  </w:r>
                </w:p>
                <w:p>
                  <w:pPr>
                    <w:pStyle w:val="Normal"/>
                    <w:widowControl w:val="false"/>
                    <w:spacing w:lineRule="auto" w:line="276"/>
                    <w:rPr>
                      <w:bCs/>
                      <w:color w:val="000000"/>
                      <w:spacing w:val="-7"/>
                      <w:lang w:eastAsia="en-US"/>
                    </w:rPr>
                  </w:pPr>
                  <w:r>
                    <w:rPr>
                      <w:bCs/>
                      <w:color w:val="000000"/>
                      <w:spacing w:val="-7"/>
                      <w:lang w:eastAsia="en-US"/>
                    </w:rPr>
                    <w:t>Магазин «Чемпион»,</w:t>
                  </w:r>
                </w:p>
                <w:p>
                  <w:pPr>
                    <w:pStyle w:val="Normal"/>
                    <w:widowControl w:val="false"/>
                    <w:spacing w:lineRule="auto" w:line="276"/>
                    <w:rPr>
                      <w:bCs/>
                      <w:color w:val="000000"/>
                      <w:spacing w:val="-7"/>
                      <w:lang w:eastAsia="en-US"/>
                    </w:rPr>
                  </w:pPr>
                  <w:r>
                    <w:rPr>
                      <w:bCs/>
                      <w:color w:val="000000"/>
                      <w:spacing w:val="-7"/>
                      <w:lang w:eastAsia="en-US"/>
                    </w:rPr>
                    <w:t>КБР,г.Нальчик,ул.Т.Идарова,168</w:t>
                  </w:r>
                </w:p>
                <w:p>
                  <w:pPr>
                    <w:pStyle w:val="Normal"/>
                    <w:widowControl w:val="false"/>
                    <w:spacing w:lineRule="auto" w:line="276"/>
                    <w:rPr>
                      <w:bCs/>
                      <w:color w:val="000000"/>
                      <w:spacing w:val="-7"/>
                      <w:lang w:eastAsia="en-US"/>
                    </w:rPr>
                  </w:pPr>
                  <w:r>
                    <w:rPr>
                      <w:bCs/>
                      <w:color w:val="000000"/>
                      <w:spacing w:val="-7"/>
                      <w:lang w:eastAsia="en-US"/>
                    </w:rPr>
                  </w:r>
                </w:p>
                <w:p>
                  <w:pPr>
                    <w:pStyle w:val="Normal"/>
                    <w:widowControl w:val="false"/>
                    <w:spacing w:lineRule="auto" w:line="276"/>
                    <w:rPr>
                      <w:bCs/>
                      <w:color w:val="000000"/>
                      <w:spacing w:val="-7"/>
                      <w:lang w:eastAsia="en-US"/>
                    </w:rPr>
                  </w:pPr>
                  <w:r>
                    <w:rPr>
                      <w:bCs/>
                      <w:color w:val="000000"/>
                      <w:spacing w:val="-7"/>
                      <w:lang w:eastAsia="en-US"/>
                    </w:rPr>
                    <w:t>Банковские  реквизиты:</w:t>
                  </w:r>
                </w:p>
                <w:p>
                  <w:pPr>
                    <w:pStyle w:val="Normal"/>
                    <w:widowControl w:val="false"/>
                    <w:spacing w:lineRule="auto" w:line="276"/>
                    <w:rPr>
                      <w:bCs/>
                      <w:color w:val="000000"/>
                      <w:spacing w:val="-7"/>
                      <w:lang w:eastAsia="en-US"/>
                    </w:rPr>
                  </w:pPr>
                  <w:r>
                    <w:rPr>
                      <w:bCs/>
                      <w:color w:val="000000"/>
                      <w:spacing w:val="-7"/>
                      <w:lang w:eastAsia="en-US"/>
                    </w:rPr>
                    <w:t>ОГРНИП 313072530900015</w:t>
                  </w:r>
                </w:p>
                <w:p>
                  <w:pPr>
                    <w:pStyle w:val="Normal"/>
                    <w:widowControl w:val="false"/>
                    <w:spacing w:lineRule="auto" w:line="276"/>
                    <w:rPr>
                      <w:bCs/>
                      <w:color w:val="000000"/>
                      <w:spacing w:val="-7"/>
                      <w:lang w:eastAsia="en-US"/>
                    </w:rPr>
                  </w:pPr>
                  <w:r>
                    <w:rPr>
                      <w:bCs/>
                      <w:color w:val="000000"/>
                      <w:spacing w:val="-7"/>
                      <w:lang w:eastAsia="en-US"/>
                    </w:rPr>
                    <w:t>ИНН:071308222443</w:t>
                  </w:r>
                </w:p>
                <w:p>
                  <w:pPr>
                    <w:pStyle w:val="Normal"/>
                    <w:widowControl w:val="false"/>
                    <w:spacing w:lineRule="auto" w:line="276"/>
                    <w:rPr>
                      <w:bCs/>
                      <w:color w:val="000000"/>
                      <w:spacing w:val="-7"/>
                      <w:lang w:eastAsia="en-US"/>
                    </w:rPr>
                  </w:pPr>
                  <w:r>
                    <w:rPr>
                      <w:bCs/>
                      <w:color w:val="000000"/>
                      <w:spacing w:val="-7"/>
                      <w:lang w:eastAsia="en-US"/>
                    </w:rPr>
                    <w:t>р/с:40802810460330001950 Северо-Кавказский бану ОАО «Сбербанк России»</w:t>
                  </w:r>
                </w:p>
                <w:p>
                  <w:pPr>
                    <w:pStyle w:val="Normal"/>
                    <w:widowControl w:val="false"/>
                    <w:spacing w:lineRule="auto" w:line="276"/>
                    <w:rPr>
                      <w:bCs/>
                      <w:color w:val="000000"/>
                      <w:spacing w:val="-7"/>
                      <w:lang w:eastAsia="en-US"/>
                    </w:rPr>
                  </w:pPr>
                  <w:r>
                    <w:rPr>
                      <w:bCs/>
                      <w:color w:val="000000"/>
                      <w:spacing w:val="-7"/>
                      <w:lang w:eastAsia="en-US"/>
                    </w:rPr>
                    <w:t>БИК:040702660</w:t>
                  </w:r>
                </w:p>
                <w:p>
                  <w:pPr>
                    <w:pStyle w:val="Normal"/>
                    <w:widowControl w:val="false"/>
                    <w:spacing w:lineRule="auto" w:line="276"/>
                    <w:rPr>
                      <w:bCs/>
                      <w:color w:val="000000"/>
                      <w:spacing w:val="-7"/>
                      <w:lang w:eastAsia="en-US"/>
                    </w:rPr>
                  </w:pPr>
                  <w:r>
                    <w:rPr>
                      <w:bCs/>
                      <w:color w:val="000000"/>
                      <w:spacing w:val="-7"/>
                      <w:lang w:eastAsia="en-US"/>
                    </w:rPr>
                  </w:r>
                </w:p>
                <w:p>
                  <w:pPr>
                    <w:pStyle w:val="Normal"/>
                    <w:widowControl w:val="false"/>
                    <w:spacing w:lineRule="auto" w:line="276"/>
                    <w:rPr>
                      <w:bCs/>
                      <w:color w:val="000000"/>
                      <w:spacing w:val="-7"/>
                      <w:lang w:eastAsia="en-US"/>
                    </w:rPr>
                  </w:pPr>
                  <w:r>
                    <w:rPr>
                      <w:bCs/>
                      <w:color w:val="000000"/>
                      <w:spacing w:val="-7"/>
                      <w:lang w:eastAsia="en-US"/>
                    </w:rPr>
                    <w:t>Паспортные данные:</w:t>
                  </w:r>
                </w:p>
                <w:p>
                  <w:pPr>
                    <w:pStyle w:val="Normal"/>
                    <w:widowControl w:val="false"/>
                    <w:spacing w:lineRule="auto" w:line="276"/>
                    <w:rPr>
                      <w:bCs/>
                      <w:color w:val="000000"/>
                      <w:spacing w:val="-7"/>
                      <w:lang w:eastAsia="en-US"/>
                    </w:rPr>
                  </w:pPr>
                  <w:r>
                    <w:rPr>
                      <w:bCs/>
                      <w:color w:val="000000"/>
                      <w:spacing w:val="-7"/>
                      <w:lang w:eastAsia="en-US"/>
                    </w:rPr>
                    <w:t>83 11  102768</w:t>
                  </w:r>
                </w:p>
                <w:p>
                  <w:pPr>
                    <w:pStyle w:val="Normal"/>
                    <w:widowControl w:val="false"/>
                    <w:spacing w:lineRule="auto" w:line="276"/>
                    <w:rPr>
                      <w:bCs/>
                      <w:color w:val="000000"/>
                      <w:spacing w:val="-7"/>
                      <w:lang w:eastAsia="en-US"/>
                    </w:rPr>
                  </w:pPr>
                  <w:r>
                    <w:rPr>
                      <w:bCs/>
                      <w:color w:val="000000"/>
                      <w:spacing w:val="-7"/>
                      <w:lang w:eastAsia="en-US"/>
                    </w:rPr>
                    <w:t>Выдан  Отделом №1 УФМС России по КБР</w:t>
                  </w:r>
                </w:p>
                <w:p>
                  <w:pPr>
                    <w:pStyle w:val="Normal"/>
                    <w:widowControl w:val="false"/>
                    <w:spacing w:lineRule="auto" w:line="276"/>
                    <w:rPr>
                      <w:bCs/>
                      <w:color w:val="000000"/>
                      <w:spacing w:val="-7"/>
                      <w:lang w:eastAsia="en-US"/>
                    </w:rPr>
                  </w:pPr>
                  <w:r>
                    <w:rPr>
                      <w:bCs/>
                      <w:color w:val="000000"/>
                      <w:spacing w:val="-7"/>
                      <w:lang w:eastAsia="en-US"/>
                    </w:rPr>
                    <w:t>Дата выдачи :24.12.2011</w:t>
                  </w:r>
                </w:p>
                <w:p>
                  <w:pPr>
                    <w:pStyle w:val="Normal"/>
                    <w:widowControl w:val="false"/>
                    <w:spacing w:lineRule="auto" w:line="276"/>
                    <w:rPr>
                      <w:bCs/>
                      <w:color w:val="000000"/>
                      <w:spacing w:val="-7"/>
                      <w:lang w:eastAsia="en-US"/>
                    </w:rPr>
                  </w:pPr>
                  <w:r>
                    <w:rPr>
                      <w:bCs/>
                      <w:color w:val="000000"/>
                      <w:spacing w:val="-7"/>
                      <w:lang w:eastAsia="en-US"/>
                    </w:rPr>
                    <w:t>Адрес по прописке:</w:t>
                  </w:r>
                </w:p>
                <w:p>
                  <w:pPr>
                    <w:pStyle w:val="Normal"/>
                    <w:widowControl w:val="false"/>
                    <w:spacing w:lineRule="auto" w:line="276"/>
                    <w:rPr>
                      <w:bCs/>
                      <w:color w:val="000000"/>
                      <w:spacing w:val="-7"/>
                      <w:lang w:eastAsia="en-US"/>
                    </w:rPr>
                  </w:pPr>
                  <w:r>
                    <w:rPr>
                      <w:bCs/>
                      <w:color w:val="000000"/>
                      <w:spacing w:val="-7"/>
                      <w:lang w:eastAsia="en-US"/>
                    </w:rPr>
                    <w:t>КБР,г.Нальчик,ул.Ленина,18/31</w:t>
                  </w:r>
                </w:p>
                <w:p>
                  <w:pPr>
                    <w:pStyle w:val="Normal"/>
                    <w:widowControl w:val="false"/>
                    <w:shd w:val="clear" w:color="auto" w:fill="FFFFFF"/>
                    <w:spacing w:lineRule="auto" w:line="276"/>
                    <w:ind w:right="154" w:hanging="0"/>
                    <w:rPr>
                      <w:b/>
                      <w:b/>
                      <w:bCs/>
                      <w:color w:val="000000"/>
                      <w:spacing w:val="-7"/>
                      <w:lang w:eastAsia="en-US"/>
                    </w:rPr>
                  </w:pPr>
                  <w:r>
                    <w:rPr>
                      <w:b/>
                      <w:bCs/>
                      <w:color w:val="000000"/>
                      <w:spacing w:val="-7"/>
                      <w:lang w:eastAsia="en-US"/>
                    </w:rPr>
                  </w:r>
                </w:p>
              </w:tc>
            </w:tr>
          </w:tbl>
          <w:p>
            <w:pPr>
              <w:pStyle w:val="Normal"/>
              <w:widowControl w:val="false"/>
              <w:spacing w:lineRule="auto" w:line="276"/>
              <w:rPr>
                <w:lang w:eastAsia="en-US"/>
              </w:rPr>
            </w:pPr>
            <w:r>
              <w:rPr>
                <w:lang w:eastAsia="en-US"/>
              </w:rPr>
            </w:r>
          </w:p>
        </w:tc>
        <w:tc>
          <w:tcPr>
            <w:tcW w:w="236" w:type="dxa"/>
            <w:tcBorders/>
          </w:tcPr>
          <w:p>
            <w:pPr>
              <w:pStyle w:val="Normal"/>
              <w:widowControl w:val="false"/>
              <w:spacing w:lineRule="auto" w:line="276"/>
              <w:rPr>
                <w:lang w:eastAsia="en-US"/>
              </w:rPr>
            </w:pPr>
            <w:r>
              <w:rPr>
                <w:lang w:eastAsia="en-US"/>
              </w:rPr>
            </w:r>
          </w:p>
        </w:tc>
        <w:tc>
          <w:tcPr>
            <w:tcW w:w="235" w:type="dxa"/>
            <w:tcBorders/>
          </w:tcPr>
          <w:p>
            <w:pPr>
              <w:pStyle w:val="Normal"/>
              <w:widowControl w:val="false"/>
              <w:spacing w:lineRule="auto" w:line="276"/>
              <w:rPr>
                <w:lang w:eastAsia="en-US"/>
              </w:rPr>
            </w:pPr>
            <w:r>
              <w:rPr>
                <w:lang w:eastAsia="en-US"/>
              </w:rPr>
            </w:r>
          </w:p>
        </w:tc>
      </w:tr>
    </w:tbl>
    <w:p>
      <w:pPr>
        <w:pStyle w:val="Normal"/>
        <w:shd w:val="clear" w:color="auto" w:fill="FFFFFF"/>
        <w:ind w:right="154" w:hanging="0"/>
        <w:jc w:val="center"/>
        <w:rPr>
          <w:b/>
          <w:b/>
          <w:bCs/>
          <w:color w:val="000000"/>
          <w:spacing w:val="-7"/>
          <w:sz w:val="24"/>
          <w:szCs w:val="24"/>
        </w:rPr>
      </w:pPr>
      <w:r>
        <w:rPr>
          <w:b/>
          <w:bCs/>
          <w:color w:val="000000"/>
          <w:spacing w:val="-7"/>
          <w:sz w:val="24"/>
          <w:szCs w:val="24"/>
        </w:rPr>
        <w:t>ПОДПИСИ И ПЕЧАТИ СТОРОН:</w:t>
      </w:r>
    </w:p>
    <w:tbl>
      <w:tblPr>
        <w:tblW w:w="9889"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5350"/>
        <w:gridCol w:w="4538"/>
      </w:tblGrid>
      <w:tr>
        <w:trPr>
          <w:trHeight w:val="1590" w:hRule="atLeast"/>
        </w:trPr>
        <w:tc>
          <w:tcPr>
            <w:tcW w:w="5350" w:type="dxa"/>
            <w:tcBorders/>
          </w:tcPr>
          <w:p>
            <w:pPr>
              <w:pStyle w:val="Normal"/>
              <w:widowControl w:val="false"/>
              <w:shd w:val="clear" w:color="auto" w:fill="FFFFFF"/>
              <w:ind w:right="154" w:hanging="0"/>
              <w:jc w:val="center"/>
              <w:rPr>
                <w:rFonts w:ascii="Times New Roman" w:hAnsi="Times New Roman" w:eastAsia="Times New Roman" w:cs="Times New Roman"/>
                <w:sz w:val="24"/>
                <w:szCs w:val="24"/>
                <w:lang w:eastAsia="en-US"/>
              </w:rPr>
            </w:pPr>
            <w:r>
              <w:rPr>
                <w:rFonts w:eastAsia="Times New Roman" w:cs="Times New Roman"/>
                <w:sz w:val="24"/>
                <w:szCs w:val="24"/>
                <w:lang w:eastAsia="en-US"/>
              </w:rPr>
              <w:t>«ИСПОЛНИТЕЛЬ»</w:t>
            </w:r>
          </w:p>
          <w:p>
            <w:pPr>
              <w:pStyle w:val="Normal"/>
              <w:widowControl w:val="false"/>
              <w:shd w:val="clear" w:color="auto" w:fill="FFFFFF"/>
              <w:ind w:right="154" w:hanging="0"/>
              <w:jc w:val="center"/>
              <w:rPr>
                <w:rFonts w:ascii="Times New Roman" w:hAnsi="Times New Roman" w:eastAsia="Times New Roman" w:cs="Times New Roman"/>
                <w:sz w:val="24"/>
                <w:szCs w:val="24"/>
                <w:lang w:eastAsia="en-US"/>
              </w:rPr>
            </w:pPr>
            <w:r>
              <w:rPr>
                <w:rFonts w:eastAsia="Times New Roman" w:cs="Times New Roman"/>
                <w:sz w:val="24"/>
                <w:szCs w:val="24"/>
                <w:lang w:eastAsia="en-US"/>
              </w:rPr>
            </w:r>
          </w:p>
          <w:p>
            <w:pPr>
              <w:pStyle w:val="Normal"/>
              <w:widowControl w:val="false"/>
              <w:shd w:val="clear" w:color="auto" w:fill="FFFFFF"/>
              <w:ind w:right="154" w:hanging="0"/>
              <w:jc w:val="center"/>
              <w:rPr>
                <w:rFonts w:ascii="Times New Roman" w:hAnsi="Times New Roman" w:eastAsia="Times New Roman" w:cs="Times New Roman"/>
                <w:sz w:val="24"/>
                <w:szCs w:val="24"/>
                <w:lang w:eastAsia="en-US"/>
              </w:rPr>
            </w:pPr>
            <w:r>
              <w:rPr>
                <w:rFonts w:eastAsia="Times New Roman" w:cs="Times New Roman"/>
                <w:sz w:val="24"/>
                <w:szCs w:val="24"/>
                <w:lang w:eastAsia="en-US"/>
              </w:rPr>
            </w:r>
          </w:p>
          <w:p>
            <w:pPr>
              <w:pStyle w:val="Normal"/>
              <w:widowControl w:val="false"/>
              <w:ind w:right="154" w:hanging="0"/>
              <w:rPr>
                <w:bCs/>
                <w:color w:val="000000"/>
                <w:spacing w:val="-7"/>
                <w:sz w:val="24"/>
                <w:szCs w:val="24"/>
                <w:lang w:eastAsia="en-US"/>
              </w:rPr>
            </w:pPr>
            <w:r>
              <w:rPr>
                <w:bCs/>
                <w:color w:val="000000"/>
                <w:spacing w:val="-7"/>
                <w:sz w:val="24"/>
                <w:szCs w:val="24"/>
                <w:lang w:eastAsia="en-US"/>
              </w:rPr>
              <w:t>_____________________ /________________ /                   М.П.</w:t>
            </w:r>
          </w:p>
        </w:tc>
        <w:tc>
          <w:tcPr>
            <w:tcW w:w="4538" w:type="dxa"/>
            <w:tcBorders/>
          </w:tcPr>
          <w:p>
            <w:pPr>
              <w:pStyle w:val="Normal"/>
              <w:widowControl w:val="false"/>
              <w:ind w:left="176" w:right="-80" w:hanging="0"/>
              <w:jc w:val="center"/>
              <w:rPr>
                <w:sz w:val="24"/>
                <w:szCs w:val="24"/>
              </w:rPr>
            </w:pPr>
            <w:r>
              <w:rPr>
                <w:sz w:val="24"/>
                <w:szCs w:val="24"/>
              </w:rPr>
              <w:t>«ЗАКАЗЧИК»</w:t>
            </w:r>
            <w:r>
              <w:rPr>
                <w:sz w:val="24"/>
                <w:szCs w:val="24"/>
              </w:rPr>
              <w:t xml:space="preserve"> </w:t>
            </w:r>
          </w:p>
          <w:p>
            <w:pPr>
              <w:pStyle w:val="Normal"/>
              <w:widowControl w:val="false"/>
              <w:ind w:left="176" w:right="-80" w:hanging="0"/>
              <w:jc w:val="center"/>
              <w:rPr>
                <w:sz w:val="24"/>
                <w:szCs w:val="24"/>
              </w:rPr>
            </w:pPr>
            <w:r>
              <w:rPr>
                <w:sz w:val="24"/>
                <w:szCs w:val="24"/>
              </w:rPr>
            </w:r>
          </w:p>
          <w:p>
            <w:pPr>
              <w:pStyle w:val="Normal"/>
              <w:widowControl w:val="false"/>
              <w:ind w:left="176" w:right="-80" w:hanging="0"/>
              <w:jc w:val="center"/>
              <w:rPr>
                <w:sz w:val="24"/>
                <w:szCs w:val="24"/>
              </w:rPr>
            </w:pPr>
            <w:r>
              <w:rPr>
                <w:sz w:val="24"/>
                <w:szCs w:val="24"/>
              </w:rPr>
            </w:r>
          </w:p>
          <w:p>
            <w:pPr>
              <w:pStyle w:val="Normal"/>
              <w:widowControl w:val="false"/>
              <w:jc w:val="both"/>
              <w:rPr>
                <w:sz w:val="24"/>
                <w:szCs w:val="24"/>
              </w:rPr>
            </w:pPr>
            <w:r>
              <w:rPr>
                <w:sz w:val="24"/>
                <w:szCs w:val="24"/>
              </w:rPr>
              <w:t xml:space="preserve">   </w:t>
            </w:r>
            <w:r>
              <w:rPr>
                <w:sz w:val="24"/>
                <w:szCs w:val="24"/>
              </w:rPr>
              <w:t>_________________ /_______________/</w:t>
            </w:r>
          </w:p>
          <w:p>
            <w:pPr>
              <w:pStyle w:val="Normal"/>
              <w:widowControl w:val="false"/>
              <w:tabs>
                <w:tab w:val="clear" w:pos="708"/>
                <w:tab w:val="left" w:pos="770" w:leader="none"/>
                <w:tab w:val="left" w:pos="2361" w:leader="none"/>
                <w:tab w:val="center" w:pos="2463" w:leader="none"/>
                <w:tab w:val="left" w:pos="2601" w:leader="none"/>
              </w:tabs>
              <w:ind w:left="601" w:hanging="601"/>
              <w:rPr>
                <w:sz w:val="24"/>
                <w:szCs w:val="24"/>
                <w:lang w:eastAsia="en-US"/>
              </w:rPr>
            </w:pPr>
            <w:r>
              <w:rPr>
                <w:sz w:val="24"/>
                <w:szCs w:val="24"/>
                <w:lang w:eastAsia="en-US"/>
              </w:rPr>
              <w:t xml:space="preserve">   </w:t>
            </w:r>
            <w:r>
              <w:rPr>
                <w:sz w:val="24"/>
                <w:szCs w:val="24"/>
                <w:lang w:eastAsia="en-US"/>
              </w:rPr>
              <w:t>М.П.</w:t>
            </w:r>
          </w:p>
          <w:p>
            <w:pPr>
              <w:pStyle w:val="Normal"/>
              <w:widowControl w:val="false"/>
              <w:rPr>
                <w:sz w:val="24"/>
                <w:szCs w:val="24"/>
                <w:lang w:eastAsia="en-US"/>
              </w:rPr>
            </w:pPr>
            <w:r>
              <w:rPr>
                <w:sz w:val="24"/>
                <w:szCs w:val="24"/>
                <w:lang w:eastAsia="en-US"/>
              </w:rPr>
            </w:r>
          </w:p>
        </w:tc>
      </w:tr>
      <w:tr>
        <w:trPr/>
        <w:tc>
          <w:tcPr>
            <w:tcW w:w="5350" w:type="dxa"/>
            <w:tcBorders/>
          </w:tcPr>
          <w:p>
            <w:pPr>
              <w:pStyle w:val="Normal"/>
              <w:widowControl w:val="false"/>
              <w:shd w:val="clear" w:color="auto" w:fill="FFFFFF"/>
              <w:ind w:right="154" w:hanging="0"/>
              <w:jc w:val="both"/>
              <w:rPr>
                <w:sz w:val="22"/>
                <w:szCs w:val="22"/>
                <w:lang w:eastAsia="en-US"/>
              </w:rPr>
            </w:pPr>
            <w:r>
              <w:rPr>
                <w:sz w:val="22"/>
                <w:szCs w:val="22"/>
                <w:lang w:eastAsia="en-US"/>
              </w:rPr>
            </w:r>
          </w:p>
        </w:tc>
        <w:tc>
          <w:tcPr>
            <w:tcW w:w="4538" w:type="dxa"/>
            <w:tcBorders/>
          </w:tcPr>
          <w:p>
            <w:pPr>
              <w:pStyle w:val="Normal"/>
              <w:widowControl w:val="false"/>
              <w:rPr>
                <w:sz w:val="24"/>
                <w:szCs w:val="24"/>
              </w:rPr>
            </w:pPr>
            <w:r>
              <w:rPr>
                <w:sz w:val="24"/>
                <w:szCs w:val="24"/>
              </w:rPr>
            </w:r>
          </w:p>
        </w:tc>
      </w:tr>
    </w:tbl>
    <w:p>
      <w:pPr>
        <w:pStyle w:val="Normal"/>
        <w:rPr/>
      </w:pPr>
      <w:r>
        <w:rPr/>
      </w:r>
    </w:p>
    <w:sectPr>
      <w:type w:val="nextPage"/>
      <w:pgSz w:w="11906" w:h="16838"/>
      <w:pgMar w:left="1560" w:right="941" w:header="0" w:top="1134" w:footer="0" w:bottom="1134"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Tahoma">
    <w:charset w:val="01"/>
    <w:family w:val="swiss"/>
    <w:pitch w:val="default"/>
  </w:font>
  <w:font w:name="PT Sans">
    <w:charset w:val="01"/>
    <w:family w:val="swiss"/>
    <w:pitch w:val="default"/>
  </w:font>
  <w:font w:name="PT Astra Serif">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val="false"/>
      <w:suppressAutoHyphens w:val="true"/>
      <w:overflowPunct w:val="true"/>
      <w:bidi w:val="0"/>
      <w:spacing w:before="0" w:after="0"/>
      <w:jc w:val="left"/>
    </w:pPr>
    <w:rPr>
      <w:rFonts w:ascii="Times New Roman" w:hAnsi="Times New Roman" w:eastAsia="Times New Roman" w:cs="Times New Roman"/>
      <w:color w:val="auto"/>
      <w:kern w:val="0"/>
      <w:sz w:val="20"/>
      <w:szCs w:val="20"/>
      <w:lang w:eastAsia="ru-RU" w:val="ru-RU" w:bidi="ar-SA"/>
    </w:rPr>
  </w:style>
  <w:style w:type="character" w:styleId="DefaultParagraphFont" w:default="1">
    <w:name w:val="Default Paragraph Font"/>
    <w:uiPriority w:val="1"/>
    <w:semiHidden/>
    <w:unhideWhenUsed/>
    <w:qFormat/>
    <w:rPr/>
  </w:style>
  <w:style w:type="character" w:styleId="Style14" w:customStyle="1">
    <w:name w:val="Основной текст с отступом Знак"/>
    <w:basedOn w:val="DefaultParagraphFont"/>
    <w:qFormat/>
    <w:rPr>
      <w:rFonts w:ascii="Times New Roman" w:hAnsi="Times New Roman" w:eastAsia="Times New Roman" w:cs="Times New Roman"/>
      <w:color w:val="000000"/>
      <w:spacing w:val="-5"/>
      <w:sz w:val="28"/>
      <w:szCs w:val="23"/>
      <w:shd w:fill="FFFFFF" w:val="clear"/>
      <w:lang w:eastAsia="ru-RU"/>
    </w:rPr>
  </w:style>
  <w:style w:type="character" w:styleId="3" w:customStyle="1">
    <w:name w:val="Основной текст 3 Знак"/>
    <w:basedOn w:val="DefaultParagraphFont"/>
    <w:qFormat/>
    <w:rPr>
      <w:rFonts w:ascii="Times New Roman" w:hAnsi="Times New Roman" w:eastAsia="Times New Roman" w:cs="Times New Roman"/>
      <w:szCs w:val="20"/>
      <w:lang w:eastAsia="ru-RU"/>
    </w:rPr>
  </w:style>
  <w:style w:type="character" w:styleId="2" w:customStyle="1">
    <w:name w:val="Основной текст с отступом 2 Знак"/>
    <w:basedOn w:val="DefaultParagraphFont"/>
    <w:qFormat/>
    <w:rPr>
      <w:rFonts w:ascii="Times New Roman" w:hAnsi="Times New Roman" w:eastAsia="Times New Roman" w:cs="Times New Roman"/>
      <w:color w:val="000000"/>
      <w:spacing w:val="-5"/>
      <w:sz w:val="28"/>
      <w:szCs w:val="28"/>
      <w:shd w:fill="FFFFFF" w:val="clear"/>
      <w:lang w:eastAsia="ru-RU"/>
    </w:rPr>
  </w:style>
  <w:style w:type="character" w:styleId="Style15" w:customStyle="1">
    <w:name w:val="Интернет-ссылка"/>
    <w:basedOn w:val="DefaultParagraphFont"/>
    <w:rPr>
      <w:color w:val="0000FF"/>
      <w:u w:val="single"/>
    </w:rPr>
  </w:style>
  <w:style w:type="character" w:styleId="Appleconvertedspace" w:customStyle="1">
    <w:name w:val="apple-converted-space"/>
    <w:basedOn w:val="DefaultParagraphFont"/>
    <w:qFormat/>
    <w:rPr/>
  </w:style>
  <w:style w:type="character" w:styleId="Style16" w:customStyle="1">
    <w:name w:val="Текст выноски Знак"/>
    <w:basedOn w:val="DefaultParagraphFont"/>
    <w:qFormat/>
    <w:rPr>
      <w:rFonts w:ascii="Tahoma" w:hAnsi="Tahoma" w:eastAsia="Times New Roman" w:cs="Tahoma"/>
      <w:sz w:val="16"/>
      <w:szCs w:val="16"/>
      <w:lang w:eastAsia="ru-RU"/>
    </w:rPr>
  </w:style>
  <w:style w:type="paragraph" w:styleId="Style17">
    <w:name w:val="Заголовок"/>
    <w:basedOn w:val="Normal"/>
    <w:next w:val="Style18"/>
    <w:qFormat/>
    <w:pPr>
      <w:keepNext w:val="true"/>
      <w:spacing w:before="240" w:after="120"/>
    </w:pPr>
    <w:rPr>
      <w:rFonts w:ascii="PT Sans" w:hAnsi="PT Sans"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cs="Noto Sans Devanagari"/>
    </w:rPr>
  </w:style>
  <w:style w:type="paragraph" w:styleId="Style20">
    <w:name w:val="Caption"/>
    <w:basedOn w:val="Normal"/>
    <w:qFormat/>
    <w:pPr>
      <w:suppressLineNumbers/>
      <w:spacing w:before="120" w:after="120"/>
    </w:pPr>
    <w:rPr>
      <w:rFonts w:ascii="PT Sans" w:hAnsi="PT Sans" w:cs="Noto Sans Devanagari"/>
      <w:i/>
      <w:iCs/>
      <w:sz w:val="24"/>
      <w:szCs w:val="24"/>
    </w:rPr>
  </w:style>
  <w:style w:type="paragraph" w:styleId="Style21">
    <w:name w:val="Указатель"/>
    <w:basedOn w:val="Normal"/>
    <w:qFormat/>
    <w:pPr>
      <w:suppressLineNumbers/>
    </w:pPr>
    <w:rPr>
      <w:rFonts w:ascii="PT Sans" w:hAnsi="PT Sans" w:cs="Noto Sans Devanagari"/>
    </w:rPr>
  </w:style>
  <w:style w:type="paragraph" w:styleId="Style22">
    <w:name w:val="Title"/>
    <w:basedOn w:val="Normal"/>
    <w:next w:val="Style18"/>
    <w:qFormat/>
    <w:pPr>
      <w:keepNext w:val="true"/>
      <w:spacing w:before="240" w:after="120"/>
    </w:pPr>
    <w:rPr>
      <w:rFonts w:ascii="PT Astra Serif" w:hAnsi="PT Astra Serif" w:eastAsia="Tahoma" w:cs="Noto Sans Devanagari"/>
      <w:sz w:val="28"/>
      <w:szCs w:val="28"/>
    </w:rPr>
  </w:style>
  <w:style w:type="paragraph" w:styleId="Caption">
    <w:name w:val="caption"/>
    <w:basedOn w:val="Normal"/>
    <w:qFormat/>
    <w:pPr>
      <w:suppressLineNumbers/>
      <w:spacing w:before="120" w:after="120"/>
    </w:pPr>
    <w:rPr>
      <w:rFonts w:cs="Noto Sans Devanagari"/>
      <w:i/>
      <w:iCs/>
      <w:sz w:val="24"/>
      <w:szCs w:val="24"/>
    </w:rPr>
  </w:style>
  <w:style w:type="paragraph" w:styleId="Indexheading">
    <w:name w:val="index heading"/>
    <w:basedOn w:val="Normal"/>
    <w:qFormat/>
    <w:pPr>
      <w:suppressLineNumbers/>
    </w:pPr>
    <w:rPr>
      <w:rFonts w:cs="Noto Sans Devanagari"/>
    </w:rPr>
  </w:style>
  <w:style w:type="paragraph" w:styleId="Style23">
    <w:name w:val="Body Text Indent"/>
    <w:basedOn w:val="Normal"/>
    <w:pPr>
      <w:shd w:val="clear" w:color="auto" w:fill="FFFFFF"/>
      <w:ind w:firstLine="709"/>
      <w:jc w:val="both"/>
    </w:pPr>
    <w:rPr>
      <w:color w:val="000000"/>
      <w:spacing w:val="-5"/>
      <w:sz w:val="28"/>
      <w:szCs w:val="23"/>
    </w:rPr>
  </w:style>
  <w:style w:type="paragraph" w:styleId="BodyText3">
    <w:name w:val="Body Text 3"/>
    <w:basedOn w:val="Normal"/>
    <w:qFormat/>
    <w:pPr>
      <w:snapToGrid w:val="false"/>
      <w:spacing w:before="100" w:after="0"/>
      <w:ind w:right="-7" w:hanging="0"/>
      <w:jc w:val="both"/>
    </w:pPr>
    <w:rPr>
      <w:sz w:val="22"/>
    </w:rPr>
  </w:style>
  <w:style w:type="paragraph" w:styleId="BodyTextIndent2">
    <w:name w:val="Body Text Indent 2"/>
    <w:basedOn w:val="Normal"/>
    <w:qFormat/>
    <w:pPr>
      <w:shd w:val="clear" w:color="auto" w:fill="FFFFFF"/>
      <w:tabs>
        <w:tab w:val="clear" w:pos="708"/>
        <w:tab w:val="left" w:pos="9072" w:leader="none"/>
      </w:tabs>
      <w:ind w:right="2" w:firstLine="709"/>
      <w:jc w:val="both"/>
    </w:pPr>
    <w:rPr>
      <w:color w:val="000000"/>
      <w:spacing w:val="-5"/>
      <w:sz w:val="28"/>
      <w:szCs w:val="28"/>
    </w:rPr>
  </w:style>
  <w:style w:type="paragraph" w:styleId="ListParagraph">
    <w:name w:val="List Paragraph"/>
    <w:basedOn w:val="Normal"/>
    <w:qFormat/>
    <w:pPr>
      <w:spacing w:before="0" w:after="0"/>
      <w:ind w:left="720" w:hanging="0"/>
      <w:contextualSpacing/>
    </w:pPr>
    <w:rPr/>
  </w:style>
  <w:style w:type="paragraph" w:styleId="ConsPlusNonformat" w:customStyle="1">
    <w:name w:val="ConsPlusNonformat"/>
    <w:qFormat/>
    <w:pPr>
      <w:widowControl w:val="false"/>
      <w:suppressAutoHyphens w:val="true"/>
      <w:overflowPunct w:val="true"/>
      <w:bidi w:val="0"/>
      <w:spacing w:before="0" w:after="0"/>
      <w:jc w:val="left"/>
    </w:pPr>
    <w:rPr>
      <w:rFonts w:ascii="Courier New" w:hAnsi="Courier New" w:eastAsia="Times New Roman" w:cs="Courier New"/>
      <w:color w:val="auto"/>
      <w:kern w:val="0"/>
      <w:sz w:val="20"/>
      <w:szCs w:val="20"/>
      <w:lang w:eastAsia="ru-RU" w:val="ru-RU" w:bidi="ar-SA"/>
    </w:rPr>
  </w:style>
  <w:style w:type="paragraph" w:styleId="BalloonText">
    <w:name w:val="Balloon Text"/>
    <w:basedOn w:val="Normal"/>
    <w:qFormat/>
    <w:pPr/>
    <w:rPr>
      <w:rFonts w:ascii="Tahoma" w:hAnsi="Tahoma" w:cs="Tahoma"/>
      <w:sz w:val="16"/>
      <w:szCs w:val="16"/>
    </w:rPr>
  </w:style>
  <w:style w:type="paragraph" w:styleId="Style24" w:customStyle="1">
    <w:name w:val="Содержимое таблицы"/>
    <w:basedOn w:val="Normal"/>
    <w:qFormat/>
    <w:pPr>
      <w:suppressLineNumbers/>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Application>LibreOffice/7.0.4.2$Linux_X86_64 LibreOffice_project/dcf040e67528d9187c66b2379df5ea4407429775</Application>
  <AppVersion>15.0000</AppVersion>
  <Pages>8</Pages>
  <Words>2392</Words>
  <Characters>17456</Characters>
  <CharactersWithSpaces>19977</CharactersWithSpaces>
  <Paragraphs>139</Paragraphs>
  <Company>RePack by SPecialiST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2022-11-16T14:50:00Z</dcterms:created>
  <dc:creator>НиК</dc:creator>
  <dc:description/>
  <dc:language>ru-RU</dc:language>
  <cp:lastModifiedBy/>
  <cp:lastPrinted>2022-09-20T16:05:00Z</cp:lastPrinted>
  <dcterms:modified xsi:type="dcterms:W3CDTF">2025-06-20T17:06:20Z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